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AA" w:rsidRDefault="009159AA" w:rsidP="009159AA">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p>
    <w:p w:rsidR="009159AA" w:rsidRPr="00B35834" w:rsidRDefault="009159AA" w:rsidP="009159AA">
      <w:pPr>
        <w:rPr>
          <w:rFonts w:asciiTheme="majorHAnsi" w:hAnsiTheme="majorHAnsi" w:cs="Tahoma"/>
          <w:color w:val="000000"/>
          <w:sz w:val="28"/>
          <w:szCs w:val="28"/>
          <w:lang w:val="uk-UA"/>
        </w:rPr>
      </w:pPr>
      <w:r>
        <w:rPr>
          <w:rFonts w:asciiTheme="majorHAnsi" w:hAnsiTheme="majorHAnsi" w:cs="Tahoma"/>
          <w:color w:val="000000"/>
          <w:sz w:val="28"/>
          <w:szCs w:val="28"/>
        </w:rPr>
        <w:t>Налоговый</w:t>
      </w:r>
      <w:r w:rsidRPr="00B35834">
        <w:rPr>
          <w:rFonts w:asciiTheme="majorHAnsi" w:hAnsiTheme="majorHAnsi" w:cs="Tahoma"/>
          <w:color w:val="000000"/>
          <w:sz w:val="28"/>
          <w:szCs w:val="28"/>
        </w:rPr>
        <w:t xml:space="preserve"> кодекс РФ</w:t>
      </w:r>
    </w:p>
    <w:p w:rsidR="009159AA" w:rsidRPr="009159AA" w:rsidRDefault="009159AA" w:rsidP="009159AA">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9159AA">
        <w:rPr>
          <w:rFonts w:ascii="Times New Roman" w:eastAsia="Times New Roman" w:hAnsi="Times New Roman" w:cs="Times New Roman"/>
          <w:bCs/>
          <w:color w:val="FF0000"/>
          <w:kern w:val="36"/>
          <w:sz w:val="24"/>
          <w:szCs w:val="24"/>
          <w:lang w:eastAsia="ru-RU"/>
        </w:rPr>
        <w:t>Статья 250</w:t>
      </w:r>
      <w:r>
        <w:rPr>
          <w:rFonts w:ascii="Times New Roman" w:eastAsia="Times New Roman" w:hAnsi="Times New Roman" w:cs="Times New Roman"/>
          <w:bCs/>
          <w:color w:val="FF0000"/>
          <w:kern w:val="36"/>
          <w:sz w:val="24"/>
          <w:szCs w:val="24"/>
          <w:lang w:eastAsia="ru-RU"/>
        </w:rPr>
        <w:t>.</w:t>
      </w:r>
      <w:r w:rsidRPr="009159AA">
        <w:rPr>
          <w:rFonts w:ascii="Times New Roman" w:eastAsia="Times New Roman" w:hAnsi="Times New Roman" w:cs="Times New Roman"/>
          <w:bCs/>
          <w:color w:val="FF0000"/>
          <w:kern w:val="36"/>
          <w:sz w:val="24"/>
          <w:szCs w:val="24"/>
          <w:lang w:eastAsia="ru-RU"/>
        </w:rPr>
        <w:t xml:space="preserve"> Внереализационные доходы</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В целях настоящей главы внереализационными доходами признаются доходы, не указанные в </w:t>
      </w:r>
      <w:hyperlink r:id="rId4" w:tooltip="Статья 249. Доходы от реализации" w:history="1">
        <w:r w:rsidRPr="009159AA">
          <w:rPr>
            <w:rFonts w:ascii="Times New Roman" w:eastAsia="Times New Roman" w:hAnsi="Times New Roman" w:cs="Times New Roman"/>
            <w:color w:val="0000FF"/>
            <w:sz w:val="24"/>
            <w:szCs w:val="24"/>
            <w:u w:val="single"/>
            <w:lang w:eastAsia="ru-RU"/>
          </w:rPr>
          <w:t>статье 249</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Внереализационными доходами налогоплательщика признаются, в частности, доходы:</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2)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w:t>
      </w:r>
      <w:hyperlink r:id="rId5" w:tooltip="Статья 290. Особенности определения доходов банков" w:history="1">
        <w:r w:rsidRPr="009159AA">
          <w:rPr>
            <w:rFonts w:ascii="Times New Roman" w:eastAsia="Times New Roman" w:hAnsi="Times New Roman" w:cs="Times New Roman"/>
            <w:color w:val="0000FF"/>
            <w:sz w:val="24"/>
            <w:szCs w:val="24"/>
            <w:u w:val="single"/>
            <w:lang w:eastAsia="ru-RU"/>
          </w:rPr>
          <w:t>статьей 290</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3)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4) от сдачи имущества (включая земельные участки) в аренду (субаренду), если такие доходы не определяются налогоплательщиком в порядке, установленном </w:t>
      </w:r>
      <w:hyperlink r:id="rId6" w:tooltip="Статья 249. Доходы от реализации" w:history="1">
        <w:r w:rsidRPr="009159AA">
          <w:rPr>
            <w:rFonts w:ascii="Times New Roman" w:eastAsia="Times New Roman" w:hAnsi="Times New Roman" w:cs="Times New Roman"/>
            <w:color w:val="0000FF"/>
            <w:sz w:val="24"/>
            <w:szCs w:val="24"/>
            <w:u w:val="single"/>
            <w:lang w:eastAsia="ru-RU"/>
          </w:rPr>
          <w:t>статьей 249</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5) от предоставления в пользование прав на результаты интеллектуальной деятельности и приравненные к ним средства индивидуализации (в частности, от предоставления в пользование прав, возникающих из патентов на изобретения, промышленные образцы и другие виды интеллектуальной собственности), если такие доходы не определяются налогоплательщиком в порядке, установленном </w:t>
      </w:r>
      <w:hyperlink r:id="rId7" w:tooltip="Статья 249. Доходы от реализации" w:history="1">
        <w:r w:rsidRPr="009159AA">
          <w:rPr>
            <w:rFonts w:ascii="Times New Roman" w:eastAsia="Times New Roman" w:hAnsi="Times New Roman" w:cs="Times New Roman"/>
            <w:color w:val="0000FF"/>
            <w:sz w:val="24"/>
            <w:szCs w:val="24"/>
            <w:u w:val="single"/>
            <w:lang w:eastAsia="ru-RU"/>
          </w:rPr>
          <w:t>статьей 249</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6)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(особенности определения доходов банков в виде процентов устанавливаются </w:t>
      </w:r>
      <w:hyperlink r:id="rId8" w:tooltip="Статья 290. Особенности определения доходов банков" w:history="1">
        <w:r w:rsidRPr="009159AA">
          <w:rPr>
            <w:rFonts w:ascii="Times New Roman" w:eastAsia="Times New Roman" w:hAnsi="Times New Roman" w:cs="Times New Roman"/>
            <w:color w:val="0000FF"/>
            <w:sz w:val="24"/>
            <w:szCs w:val="24"/>
            <w:u w:val="single"/>
            <w:lang w:eastAsia="ru-RU"/>
          </w:rPr>
          <w:t>статьей 290</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7) в виде сумм восстановленных резервов, расходы на формирование которых были приняты в составе расходов в порядке и на условиях, которые установлены </w:t>
      </w:r>
      <w:hyperlink r:id="rId9" w:tooltip="Статья 266. Расходы на формирование резервов по сомнительным долгам" w:history="1">
        <w:r w:rsidRPr="009159AA">
          <w:rPr>
            <w:rFonts w:ascii="Times New Roman" w:eastAsia="Times New Roman" w:hAnsi="Times New Roman" w:cs="Times New Roman"/>
            <w:color w:val="0000FF"/>
            <w:sz w:val="24"/>
            <w:szCs w:val="24"/>
            <w:u w:val="single"/>
            <w:lang w:eastAsia="ru-RU"/>
          </w:rPr>
          <w:t>статьями 266</w:t>
        </w:r>
      </w:hyperlink>
      <w:r w:rsidRPr="009159AA">
        <w:rPr>
          <w:rFonts w:ascii="Times New Roman" w:eastAsia="Times New Roman" w:hAnsi="Times New Roman" w:cs="Times New Roman"/>
          <w:sz w:val="24"/>
          <w:szCs w:val="24"/>
          <w:lang w:eastAsia="ru-RU"/>
        </w:rPr>
        <w:t xml:space="preserve">, </w:t>
      </w:r>
      <w:hyperlink r:id="rId10" w:tooltip="Статья 267. Расходы на формирование резерва по гарантийному ремонту и гарантийному обслуживанию" w:history="1">
        <w:r w:rsidRPr="009159AA">
          <w:rPr>
            <w:rFonts w:ascii="Times New Roman" w:eastAsia="Times New Roman" w:hAnsi="Times New Roman" w:cs="Times New Roman"/>
            <w:color w:val="0000FF"/>
            <w:sz w:val="24"/>
            <w:szCs w:val="24"/>
            <w:u w:val="single"/>
            <w:lang w:eastAsia="ru-RU"/>
          </w:rPr>
          <w:t>267</w:t>
        </w:r>
      </w:hyperlink>
      <w:r w:rsidRPr="009159AA">
        <w:rPr>
          <w:rFonts w:ascii="Times New Roman" w:eastAsia="Times New Roman" w:hAnsi="Times New Roman" w:cs="Times New Roman"/>
          <w:sz w:val="24"/>
          <w:szCs w:val="24"/>
          <w:lang w:eastAsia="ru-RU"/>
        </w:rPr>
        <w:t xml:space="preserve">, </w:t>
      </w:r>
      <w:hyperlink r:id="rId11" w:tooltip="Статья 267. Расходы на формирование резерва по гарантийному ремонту и гарантийному обслуживанию" w:history="1">
        <w:r w:rsidRPr="009159AA">
          <w:rPr>
            <w:rFonts w:ascii="Times New Roman" w:eastAsia="Times New Roman" w:hAnsi="Times New Roman" w:cs="Times New Roman"/>
            <w:color w:val="0000FF"/>
            <w:sz w:val="24"/>
            <w:szCs w:val="24"/>
            <w:u w:val="single"/>
            <w:lang w:eastAsia="ru-RU"/>
          </w:rPr>
          <w:t>267</w:t>
        </w:r>
      </w:hyperlink>
      <w:r w:rsidRPr="009159AA">
        <w:rPr>
          <w:rFonts w:ascii="Times New Roman" w:eastAsia="Times New Roman" w:hAnsi="Times New Roman" w:cs="Times New Roman"/>
          <w:sz w:val="24"/>
          <w:szCs w:val="24"/>
          <w:lang w:eastAsia="ru-RU"/>
        </w:rPr>
        <w:t xml:space="preserve">.2, </w:t>
      </w:r>
      <w:hyperlink r:id="rId12" w:tooltip="Статья 292. Расходы на формирование резервов банков" w:history="1">
        <w:r w:rsidRPr="009159AA">
          <w:rPr>
            <w:rFonts w:ascii="Times New Roman" w:eastAsia="Times New Roman" w:hAnsi="Times New Roman" w:cs="Times New Roman"/>
            <w:color w:val="0000FF"/>
            <w:sz w:val="24"/>
            <w:szCs w:val="24"/>
            <w:u w:val="single"/>
            <w:lang w:eastAsia="ru-RU"/>
          </w:rPr>
          <w:t>292</w:t>
        </w:r>
      </w:hyperlink>
      <w:r w:rsidRPr="009159AA">
        <w:rPr>
          <w:rFonts w:ascii="Times New Roman" w:eastAsia="Times New Roman" w:hAnsi="Times New Roman" w:cs="Times New Roman"/>
          <w:sz w:val="24"/>
          <w:szCs w:val="24"/>
          <w:lang w:eastAsia="ru-RU"/>
        </w:rPr>
        <w:t xml:space="preserve">, </w:t>
      </w:r>
      <w:hyperlink r:id="rId13" w:tooltip="Статья 294. Особенности определения расходов страховых организаций (страховщиков)" w:history="1">
        <w:r w:rsidRPr="009159AA">
          <w:rPr>
            <w:rFonts w:ascii="Times New Roman" w:eastAsia="Times New Roman" w:hAnsi="Times New Roman" w:cs="Times New Roman"/>
            <w:color w:val="0000FF"/>
            <w:sz w:val="24"/>
            <w:szCs w:val="24"/>
            <w:u w:val="single"/>
            <w:lang w:eastAsia="ru-RU"/>
          </w:rPr>
          <w:t>294</w:t>
        </w:r>
      </w:hyperlink>
      <w:r w:rsidRPr="009159AA">
        <w:rPr>
          <w:rFonts w:ascii="Times New Roman" w:eastAsia="Times New Roman" w:hAnsi="Times New Roman" w:cs="Times New Roman"/>
          <w:sz w:val="24"/>
          <w:szCs w:val="24"/>
          <w:lang w:eastAsia="ru-RU"/>
        </w:rPr>
        <w:t xml:space="preserve">, </w:t>
      </w:r>
      <w:hyperlink r:id="rId14" w:tooltip="Статья 294. Особенности определения расходов страховых организаций (страховщиков)" w:history="1">
        <w:r w:rsidRPr="009159AA">
          <w:rPr>
            <w:rFonts w:ascii="Times New Roman" w:eastAsia="Times New Roman" w:hAnsi="Times New Roman" w:cs="Times New Roman"/>
            <w:color w:val="0000FF"/>
            <w:sz w:val="24"/>
            <w:szCs w:val="24"/>
            <w:u w:val="single"/>
            <w:lang w:eastAsia="ru-RU"/>
          </w:rPr>
          <w:t>294</w:t>
        </w:r>
      </w:hyperlink>
      <w:r w:rsidRPr="009159AA">
        <w:rPr>
          <w:rFonts w:ascii="Times New Roman" w:eastAsia="Times New Roman" w:hAnsi="Times New Roman" w:cs="Times New Roman"/>
          <w:sz w:val="24"/>
          <w:szCs w:val="24"/>
          <w:lang w:eastAsia="ru-RU"/>
        </w:rPr>
        <w:t xml:space="preserve">.1, </w:t>
      </w:r>
      <w:hyperlink r:id="rId15" w:tooltip="Статья 300. Расходы на формирование резервов под обесценение ценных бумаг у профессиональных участников рынка ценных бумаг, осуществляющих дилерскую деятельность" w:history="1">
        <w:r w:rsidRPr="009159AA">
          <w:rPr>
            <w:rFonts w:ascii="Times New Roman" w:eastAsia="Times New Roman" w:hAnsi="Times New Roman" w:cs="Times New Roman"/>
            <w:color w:val="0000FF"/>
            <w:sz w:val="24"/>
            <w:szCs w:val="24"/>
            <w:u w:val="single"/>
            <w:lang w:eastAsia="ru-RU"/>
          </w:rPr>
          <w:t>300</w:t>
        </w:r>
      </w:hyperlink>
      <w:r w:rsidRPr="009159AA">
        <w:rPr>
          <w:rFonts w:ascii="Times New Roman" w:eastAsia="Times New Roman" w:hAnsi="Times New Roman" w:cs="Times New Roman"/>
          <w:sz w:val="24"/>
          <w:szCs w:val="24"/>
          <w:lang w:eastAsia="ru-RU"/>
        </w:rPr>
        <w:t xml:space="preserve">, </w:t>
      </w:r>
      <w:hyperlink r:id="rId16" w:tooltip="Статья 324. Порядок ведения налогового учета расходов на ремонт основных средств" w:history="1">
        <w:r w:rsidRPr="009159AA">
          <w:rPr>
            <w:rFonts w:ascii="Times New Roman" w:eastAsia="Times New Roman" w:hAnsi="Times New Roman" w:cs="Times New Roman"/>
            <w:color w:val="0000FF"/>
            <w:sz w:val="24"/>
            <w:szCs w:val="24"/>
            <w:u w:val="single"/>
            <w:lang w:eastAsia="ru-RU"/>
          </w:rPr>
          <w:t>324</w:t>
        </w:r>
      </w:hyperlink>
      <w:r w:rsidRPr="009159AA">
        <w:rPr>
          <w:rFonts w:ascii="Times New Roman" w:eastAsia="Times New Roman" w:hAnsi="Times New Roman" w:cs="Times New Roman"/>
          <w:sz w:val="24"/>
          <w:szCs w:val="24"/>
          <w:lang w:eastAsia="ru-RU"/>
        </w:rPr>
        <w:t xml:space="preserve"> и </w:t>
      </w:r>
      <w:hyperlink r:id="rId17" w:tooltip="Статья 324. Порядок ведения налогового учета расходов на ремонт основных средств" w:history="1">
        <w:r w:rsidRPr="009159AA">
          <w:rPr>
            <w:rFonts w:ascii="Times New Roman" w:eastAsia="Times New Roman" w:hAnsi="Times New Roman" w:cs="Times New Roman"/>
            <w:color w:val="0000FF"/>
            <w:sz w:val="24"/>
            <w:szCs w:val="24"/>
            <w:u w:val="single"/>
            <w:lang w:eastAsia="ru-RU"/>
          </w:rPr>
          <w:t>324</w:t>
        </w:r>
      </w:hyperlink>
      <w:r w:rsidRPr="009159AA">
        <w:rPr>
          <w:rFonts w:ascii="Times New Roman" w:eastAsia="Times New Roman" w:hAnsi="Times New Roman" w:cs="Times New Roman"/>
          <w:sz w:val="24"/>
          <w:szCs w:val="24"/>
          <w:lang w:eastAsia="ru-RU"/>
        </w:rPr>
        <w:t>.1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8) в виде безвозмездно полученного имущества (работ, услуг) или имущественных прав, за исключением случаев, указанных в </w:t>
      </w:r>
      <w:hyperlink r:id="rId18" w:tooltip="Статья 251. Доходы, не учитываемые при определении налоговой базы" w:history="1">
        <w:r w:rsidRPr="009159AA">
          <w:rPr>
            <w:rFonts w:ascii="Times New Roman" w:eastAsia="Times New Roman" w:hAnsi="Times New Roman" w:cs="Times New Roman"/>
            <w:color w:val="0000FF"/>
            <w:sz w:val="24"/>
            <w:szCs w:val="24"/>
            <w:u w:val="single"/>
            <w:lang w:eastAsia="ru-RU"/>
          </w:rPr>
          <w:t>статье 251</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При получении имущества (работ, услуг) безвозмездно оценка доходов осуществляется исходя из рыночных цен, определяемых с учетом положений </w:t>
      </w:r>
      <w:hyperlink r:id="rId19" w:tooltip="Статья 105.3. Общие положения о налогообложении в сделках между взаимозависимыми лицами" w:history="1">
        <w:r w:rsidRPr="009159AA">
          <w:rPr>
            <w:rFonts w:ascii="Times New Roman" w:eastAsia="Times New Roman" w:hAnsi="Times New Roman" w:cs="Times New Roman"/>
            <w:color w:val="0000FF"/>
            <w:sz w:val="24"/>
            <w:szCs w:val="24"/>
            <w:u w:val="single"/>
            <w:lang w:eastAsia="ru-RU"/>
          </w:rPr>
          <w:t>статьи 105.3</w:t>
        </w:r>
      </w:hyperlink>
      <w:r w:rsidRPr="009159AA">
        <w:rPr>
          <w:rFonts w:ascii="Times New Roman" w:eastAsia="Times New Roman" w:hAnsi="Times New Roman" w:cs="Times New Roman"/>
          <w:sz w:val="24"/>
          <w:szCs w:val="24"/>
          <w:lang w:eastAsia="ru-RU"/>
        </w:rPr>
        <w:t xml:space="preserve"> настоящего Кодекса, но не ниже определяемой в соответствии с настоящей главой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w:t>
      </w:r>
      <w:r w:rsidRPr="009159AA">
        <w:rPr>
          <w:rFonts w:ascii="Times New Roman" w:eastAsia="Times New Roman" w:hAnsi="Times New Roman" w:cs="Times New Roman"/>
          <w:sz w:val="24"/>
          <w:szCs w:val="24"/>
          <w:lang w:eastAsia="ru-RU"/>
        </w:rPr>
        <w:lastRenderedPageBreak/>
        <w:t>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9) в виде дохода, распределяемого в пользу налогоплательщика при его участии в простом товариществе, учитываемого в порядке, предусмотренном </w:t>
      </w:r>
      <w:hyperlink r:id="rId20" w:tooltip="Статья 278. Особенности определения налоговой базы по доходам, полученным участниками договора простого товарищества" w:history="1">
        <w:r w:rsidRPr="009159AA">
          <w:rPr>
            <w:rFonts w:ascii="Times New Roman" w:eastAsia="Times New Roman" w:hAnsi="Times New Roman" w:cs="Times New Roman"/>
            <w:color w:val="0000FF"/>
            <w:sz w:val="24"/>
            <w:szCs w:val="24"/>
            <w:u w:val="single"/>
            <w:lang w:eastAsia="ru-RU"/>
          </w:rPr>
          <w:t>статьей 278</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10) в виде дохода прошлых лет, выявленного в отчетном (налоговом) периоде;</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11) в виде положительной курсовой разницы, возникающей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(за исключением авансов, выданных (полученных),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Положительной курсовой разницей в целях настоящей главы признается курсовая разница, возникающая при дооценке имущества в виде валютных ценностей (за исключением ценных бумаг, номинированных в иностранной валюте) и требований, выраженных в иностранной валюте, либо при уценке выраженных в иностранной валюте обязательств;</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11.1) в виде суммовой разницы, возникающей у налогоплательщика, если сумма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12)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13)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подпунктом 18 пункта 1 </w:t>
      </w:r>
      <w:hyperlink r:id="rId21" w:tooltip="Статья 251. Доходы, не учитываемые при определении налоговой базы" w:history="1">
        <w:r w:rsidRPr="009159AA">
          <w:rPr>
            <w:rFonts w:ascii="Times New Roman" w:eastAsia="Times New Roman" w:hAnsi="Times New Roman" w:cs="Times New Roman"/>
            <w:color w:val="0000FF"/>
            <w:sz w:val="24"/>
            <w:szCs w:val="24"/>
            <w:u w:val="single"/>
            <w:lang w:eastAsia="ru-RU"/>
          </w:rPr>
          <w:t>статьи 251</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14)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бюджетного законодательства Российской Федерации.</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средств в составе налоговой декларации по налогу.</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Абзац исключен. i</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lastRenderedPageBreak/>
        <w:t>15) в виде использованных не по целевому назначению предприятиями и организациями, в состав которых входят особо радиационно опасные и ядерно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16)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подпунктом 17 пункта 1 </w:t>
      </w:r>
      <w:hyperlink r:id="rId22" w:tooltip="Статья 251. Доходы, не учитываемые при определении налоговой базы" w:history="1">
        <w:r w:rsidRPr="009159AA">
          <w:rPr>
            <w:rFonts w:ascii="Times New Roman" w:eastAsia="Times New Roman" w:hAnsi="Times New Roman" w:cs="Times New Roman"/>
            <w:color w:val="0000FF"/>
            <w:sz w:val="24"/>
            <w:szCs w:val="24"/>
            <w:u w:val="single"/>
            <w:lang w:eastAsia="ru-RU"/>
          </w:rPr>
          <w:t>статьи 251</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17) в виде сумм возврата от некоммерческой организации ранее уплаченных взносов (вкладов) в случае, если такие взносы (вклады) ранее были учтены в составе расходов при формировании налоговой базы;</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18)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w:t>
      </w:r>
      <w:hyperlink r:id="rId23" w:tooltip="Статья 251. Доходы, не учитываемые при определении налоговой базы" w:history="1">
        <w:r w:rsidRPr="009159AA">
          <w:rPr>
            <w:rFonts w:ascii="Times New Roman" w:eastAsia="Times New Roman" w:hAnsi="Times New Roman" w:cs="Times New Roman"/>
            <w:color w:val="0000FF"/>
            <w:sz w:val="24"/>
            <w:szCs w:val="24"/>
            <w:u w:val="single"/>
            <w:lang w:eastAsia="ru-RU"/>
          </w:rPr>
          <w:t>статьи 251</w:t>
        </w:r>
      </w:hyperlink>
      <w:r w:rsidRPr="009159AA">
        <w:rPr>
          <w:rFonts w:ascii="Times New Roman" w:eastAsia="Times New Roman" w:hAnsi="Times New Roman" w:cs="Times New Roman"/>
          <w:sz w:val="24"/>
          <w:szCs w:val="24"/>
          <w:lang w:eastAsia="ru-RU"/>
        </w:rPr>
        <w:t xml:space="preserve"> настоящего Кодекса. Положения данного пункта не распространяются на списание ипотечным агентом кредиторской задолженности в виде обязательств перед владельцами облигаций с ипотечным покрытием;</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19) в виде доходов, полученных от операций с финансовыми инструментами срочных сделок, с учетом положений </w:t>
      </w:r>
      <w:hyperlink r:id="rId24" w:tooltip="Статья 301. Срочные сделки. Особенности налогообложения" w:history="1">
        <w:r w:rsidRPr="009159AA">
          <w:rPr>
            <w:rFonts w:ascii="Times New Roman" w:eastAsia="Times New Roman" w:hAnsi="Times New Roman" w:cs="Times New Roman"/>
            <w:color w:val="0000FF"/>
            <w:sz w:val="24"/>
            <w:szCs w:val="24"/>
            <w:u w:val="single"/>
            <w:lang w:eastAsia="ru-RU"/>
          </w:rPr>
          <w:t>статей 301</w:t>
        </w:r>
      </w:hyperlink>
      <w:r w:rsidRPr="009159AA">
        <w:rPr>
          <w:rFonts w:ascii="Times New Roman" w:eastAsia="Times New Roman" w:hAnsi="Times New Roman" w:cs="Times New Roman"/>
          <w:sz w:val="24"/>
          <w:szCs w:val="24"/>
          <w:lang w:eastAsia="ru-RU"/>
        </w:rPr>
        <w:t xml:space="preserve"> - </w:t>
      </w:r>
      <w:hyperlink r:id="rId25" w:tooltip="Статья 305. Особенности оценки для целей налогообложения операций с финансовыми инструментами срочных сделок" w:history="1">
        <w:r w:rsidRPr="009159AA">
          <w:rPr>
            <w:rFonts w:ascii="Times New Roman" w:eastAsia="Times New Roman" w:hAnsi="Times New Roman" w:cs="Times New Roman"/>
            <w:color w:val="0000FF"/>
            <w:sz w:val="24"/>
            <w:szCs w:val="24"/>
            <w:u w:val="single"/>
            <w:lang w:eastAsia="ru-RU"/>
          </w:rPr>
          <w:t>305</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20) в виде стоимости излишков материально-производственных запасов и прочего имущества, которые выявлены в результате инвентаризации;</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21) в виде стоимости продукции средств массовой информации и книжной продукции, подлежащей замене при возврате либо при списании такой продукции по основаниям, предусмотренным подпунктами 43 и 44 пункта 1 </w:t>
      </w:r>
      <w:hyperlink r:id="rId26" w:tooltip="Статья 264. Прочие расходы, связанные с производством и (или) реализацией" w:history="1">
        <w:r w:rsidRPr="009159AA">
          <w:rPr>
            <w:rFonts w:ascii="Times New Roman" w:eastAsia="Times New Roman" w:hAnsi="Times New Roman" w:cs="Times New Roman"/>
            <w:color w:val="0000FF"/>
            <w:sz w:val="24"/>
            <w:szCs w:val="24"/>
            <w:u w:val="single"/>
            <w:lang w:eastAsia="ru-RU"/>
          </w:rPr>
          <w:t>статьи 264</w:t>
        </w:r>
      </w:hyperlink>
      <w:r w:rsidRPr="009159AA">
        <w:rPr>
          <w:rFonts w:ascii="Times New Roman" w:eastAsia="Times New Roman" w:hAnsi="Times New Roman" w:cs="Times New Roman"/>
          <w:sz w:val="24"/>
          <w:szCs w:val="24"/>
          <w:lang w:eastAsia="ru-RU"/>
        </w:rPr>
        <w:t xml:space="preserve"> настоящего Кодекса. Оценка стоимости указанной в настоящем пункте продукции производится в соответствии с порядком оценки остатков готовой продукции, установленным </w:t>
      </w:r>
      <w:hyperlink r:id="rId27" w:tooltip="Статья 319. Порядок оценки остатков незавершенного производства, остатков готовой продукции, товаров отгруженных" w:history="1">
        <w:r w:rsidRPr="009159AA">
          <w:rPr>
            <w:rFonts w:ascii="Times New Roman" w:eastAsia="Times New Roman" w:hAnsi="Times New Roman" w:cs="Times New Roman"/>
            <w:color w:val="0000FF"/>
            <w:sz w:val="24"/>
            <w:szCs w:val="24"/>
            <w:u w:val="single"/>
            <w:lang w:eastAsia="ru-RU"/>
          </w:rPr>
          <w:t>статьей 319</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22)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w:t>
      </w:r>
      <w:hyperlink r:id="rId28" w:tooltip="Статья 105.12. Метод сопоставимой рентабельности" w:history="1">
        <w:r w:rsidRPr="009159AA">
          <w:rPr>
            <w:rFonts w:ascii="Times New Roman" w:eastAsia="Times New Roman" w:hAnsi="Times New Roman" w:cs="Times New Roman"/>
            <w:color w:val="0000FF"/>
            <w:sz w:val="24"/>
            <w:szCs w:val="24"/>
            <w:u w:val="single"/>
            <w:lang w:eastAsia="ru-RU"/>
          </w:rPr>
          <w:t>статьями 105.12</w:t>
        </w:r>
      </w:hyperlink>
      <w:r w:rsidRPr="009159AA">
        <w:rPr>
          <w:rFonts w:ascii="Times New Roman" w:eastAsia="Times New Roman" w:hAnsi="Times New Roman" w:cs="Times New Roman"/>
          <w:sz w:val="24"/>
          <w:szCs w:val="24"/>
          <w:lang w:eastAsia="ru-RU"/>
        </w:rPr>
        <w:t xml:space="preserve"> и </w:t>
      </w:r>
      <w:hyperlink r:id="rId29" w:tooltip="Статья 105.13. Метод распределения прибыли" w:history="1">
        <w:r w:rsidRPr="009159AA">
          <w:rPr>
            <w:rFonts w:ascii="Times New Roman" w:eastAsia="Times New Roman" w:hAnsi="Times New Roman" w:cs="Times New Roman"/>
            <w:color w:val="0000FF"/>
            <w:sz w:val="24"/>
            <w:szCs w:val="24"/>
            <w:u w:val="single"/>
            <w:lang w:eastAsia="ru-RU"/>
          </w:rPr>
          <w:t>105.13</w:t>
        </w:r>
      </w:hyperlink>
      <w:r w:rsidRPr="009159AA">
        <w:rPr>
          <w:rFonts w:ascii="Times New Roman" w:eastAsia="Times New Roman" w:hAnsi="Times New Roman" w:cs="Times New Roman"/>
          <w:sz w:val="24"/>
          <w:szCs w:val="24"/>
          <w:lang w:eastAsia="ru-RU"/>
        </w:rPr>
        <w:t xml:space="preserve"> настоящего Кодекса;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23)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№275-ФЗ "О порядке формирования и использования целевого капитала некоммерческих организаций", за вычетом следующих сумм:</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стоимость (остаточная стоимость) недвижимого имущества,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№275-ФЗ "О порядке формирования и использования </w:t>
      </w:r>
      <w:r w:rsidRPr="009159AA">
        <w:rPr>
          <w:rFonts w:ascii="Times New Roman" w:eastAsia="Times New Roman" w:hAnsi="Times New Roman" w:cs="Times New Roman"/>
          <w:sz w:val="24"/>
          <w:szCs w:val="24"/>
          <w:lang w:eastAsia="ru-RU"/>
        </w:rPr>
        <w:lastRenderedPageBreak/>
        <w:t>целевого капитала некоммерческих организаций", - при возврате денежного эквивалента недвижимого имущества;</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стоимость, по которой ценные бумаги были учтены в налоговом учете жертвователя на дату их передачи на пополнение целевого капитала некоммерческой организации в порядке, установленном Федеральным законом от 30 декабря 2006 года №275-ФЗ "О порядке формирования и использования целевого капитала некоммерческих организаций", - при возврате денежного эквивалента ценных бумаг.</w:t>
      </w:r>
    </w:p>
    <w:p w:rsidR="009159AA" w:rsidRPr="009159AA" w:rsidRDefault="009159AA" w:rsidP="009159AA">
      <w:pPr>
        <w:spacing w:before="100" w:beforeAutospacing="1" w:after="100" w:afterAutospacing="1" w:line="240" w:lineRule="auto"/>
        <w:rPr>
          <w:rFonts w:ascii="Times New Roman" w:eastAsia="Times New Roman" w:hAnsi="Times New Roman" w:cs="Times New Roman"/>
          <w:sz w:val="24"/>
          <w:szCs w:val="24"/>
          <w:lang w:eastAsia="ru-RU"/>
        </w:rPr>
      </w:pPr>
      <w:r w:rsidRPr="009159AA">
        <w:rPr>
          <w:rFonts w:ascii="Times New Roman" w:eastAsia="Times New Roman" w:hAnsi="Times New Roman" w:cs="Times New Roman"/>
          <w:sz w:val="24"/>
          <w:szCs w:val="24"/>
          <w:lang w:eastAsia="ru-RU"/>
        </w:rPr>
        <w:t xml:space="preserve">Если стоимость указанных в пункте 23 части второй настоящей статьи недвижимого имущества или ценных бумаг превышает денежный эквивалент такого имущества, возвращенный жертвователю или его правопреемникам, разница между этими величинами признается убытком и учитывается в целях налогообложения в соответствии со </w:t>
      </w:r>
      <w:hyperlink r:id="rId30" w:tooltip="Статья 268. Особенности определения расходов при реализации товаров и (или) имущественных прав" w:history="1">
        <w:r w:rsidRPr="009159AA">
          <w:rPr>
            <w:rFonts w:ascii="Times New Roman" w:eastAsia="Times New Roman" w:hAnsi="Times New Roman" w:cs="Times New Roman"/>
            <w:color w:val="0000FF"/>
            <w:sz w:val="24"/>
            <w:szCs w:val="24"/>
            <w:u w:val="single"/>
            <w:lang w:eastAsia="ru-RU"/>
          </w:rPr>
          <w:t>статьями 268</w:t>
        </w:r>
      </w:hyperlink>
      <w:r w:rsidRPr="009159AA">
        <w:rPr>
          <w:rFonts w:ascii="Times New Roman" w:eastAsia="Times New Roman" w:hAnsi="Times New Roman" w:cs="Times New Roman"/>
          <w:sz w:val="24"/>
          <w:szCs w:val="24"/>
          <w:lang w:eastAsia="ru-RU"/>
        </w:rPr>
        <w:t xml:space="preserve"> и </w:t>
      </w:r>
      <w:hyperlink r:id="rId31" w:tooltip="Статья 280. Особенности определения налоговой базы по операциям с ценными бумагами" w:history="1">
        <w:r w:rsidRPr="009159AA">
          <w:rPr>
            <w:rFonts w:ascii="Times New Roman" w:eastAsia="Times New Roman" w:hAnsi="Times New Roman" w:cs="Times New Roman"/>
            <w:color w:val="0000FF"/>
            <w:sz w:val="24"/>
            <w:szCs w:val="24"/>
            <w:u w:val="single"/>
            <w:lang w:eastAsia="ru-RU"/>
          </w:rPr>
          <w:t>280</w:t>
        </w:r>
      </w:hyperlink>
      <w:r w:rsidRPr="009159AA">
        <w:rPr>
          <w:rFonts w:ascii="Times New Roman" w:eastAsia="Times New Roman" w:hAnsi="Times New Roman" w:cs="Times New Roman"/>
          <w:sz w:val="24"/>
          <w:szCs w:val="24"/>
          <w:lang w:eastAsia="ru-RU"/>
        </w:rPr>
        <w:t xml:space="preserve"> настоящего Кодекса.</w:t>
      </w:r>
    </w:p>
    <w:p w:rsidR="00300C37" w:rsidRDefault="009159AA"/>
    <w:sectPr w:rsidR="00300C37" w:rsidSect="0095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159AA"/>
    <w:rsid w:val="002E5764"/>
    <w:rsid w:val="009159AA"/>
    <w:rsid w:val="00953893"/>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93"/>
  </w:style>
  <w:style w:type="paragraph" w:styleId="1">
    <w:name w:val="heading 1"/>
    <w:basedOn w:val="a"/>
    <w:link w:val="10"/>
    <w:uiPriority w:val="9"/>
    <w:qFormat/>
    <w:rsid w:val="00915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9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5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59AA"/>
    <w:rPr>
      <w:color w:val="0000FF"/>
      <w:u w:val="single"/>
    </w:rPr>
  </w:style>
  <w:style w:type="character" w:customStyle="1" w:styleId="infoa">
    <w:name w:val="infoa"/>
    <w:basedOn w:val="a0"/>
    <w:rsid w:val="009159AA"/>
  </w:style>
</w:styles>
</file>

<file path=word/webSettings.xml><?xml version="1.0" encoding="utf-8"?>
<w:webSettings xmlns:r="http://schemas.openxmlformats.org/officeDocument/2006/relationships" xmlns:w="http://schemas.openxmlformats.org/wordprocessingml/2006/main">
  <w:divs>
    <w:div w:id="8154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kodeks.systecs.ru/nk_rf/nk_glava25/nk_st290.html" TargetMode="External"/><Relationship Id="rId13" Type="http://schemas.openxmlformats.org/officeDocument/2006/relationships/hyperlink" Target="http://kodeks.systecs.ru/nk_rf/nk_glava25/nk_st294.html" TargetMode="External"/><Relationship Id="rId18" Type="http://schemas.openxmlformats.org/officeDocument/2006/relationships/hyperlink" Target="http://kodeks.systecs.ru/nk_rf/nk_glava25/nk_st251.html" TargetMode="External"/><Relationship Id="rId26" Type="http://schemas.openxmlformats.org/officeDocument/2006/relationships/hyperlink" Target="http://kodeks.systecs.ru/nk_rf/nk_glava25/nk_st264.html" TargetMode="External"/><Relationship Id="rId3" Type="http://schemas.openxmlformats.org/officeDocument/2006/relationships/webSettings" Target="webSettings.xml"/><Relationship Id="rId21" Type="http://schemas.openxmlformats.org/officeDocument/2006/relationships/hyperlink" Target="http://kodeks.systecs.ru/nk_rf/nk_glava25/nk_st251.html" TargetMode="External"/><Relationship Id="rId7" Type="http://schemas.openxmlformats.org/officeDocument/2006/relationships/hyperlink" Target="http://kodeks.systecs.ru/nk_rf/nk_glava25/nk_st249.html" TargetMode="External"/><Relationship Id="rId12" Type="http://schemas.openxmlformats.org/officeDocument/2006/relationships/hyperlink" Target="http://kodeks.systecs.ru/nk_rf/nk_glava25/nk_st292.html" TargetMode="External"/><Relationship Id="rId17" Type="http://schemas.openxmlformats.org/officeDocument/2006/relationships/hyperlink" Target="http://kodeks.systecs.ru/nk_rf/nk_glava25/nk_st324.html" TargetMode="External"/><Relationship Id="rId25" Type="http://schemas.openxmlformats.org/officeDocument/2006/relationships/hyperlink" Target="http://kodeks.systecs.ru/nk_rf/nk_glava25/nk_st305.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odeks.systecs.ru/nk_rf/nk_glava25/nk_st324.html" TargetMode="External"/><Relationship Id="rId20" Type="http://schemas.openxmlformats.org/officeDocument/2006/relationships/hyperlink" Target="http://kodeks.systecs.ru/nk_rf/nk_glava25/nk_st278.html" TargetMode="External"/><Relationship Id="rId29" Type="http://schemas.openxmlformats.org/officeDocument/2006/relationships/hyperlink" Target="http://kodeks.systecs.ru/nk_rf/nk_glava14_3/nk_st105_13.html" TargetMode="External"/><Relationship Id="rId1" Type="http://schemas.openxmlformats.org/officeDocument/2006/relationships/styles" Target="styles.xml"/><Relationship Id="rId6" Type="http://schemas.openxmlformats.org/officeDocument/2006/relationships/hyperlink" Target="http://kodeks.systecs.ru/nk_rf/nk_glava25/nk_st249.html" TargetMode="External"/><Relationship Id="rId11" Type="http://schemas.openxmlformats.org/officeDocument/2006/relationships/hyperlink" Target="http://kodeks.systecs.ru/nk_rf/nk_glava25/nk_st267.html" TargetMode="External"/><Relationship Id="rId24" Type="http://schemas.openxmlformats.org/officeDocument/2006/relationships/hyperlink" Target="http://kodeks.systecs.ru/nk_rf/nk_glava25/nk_st301.html" TargetMode="External"/><Relationship Id="rId32" Type="http://schemas.openxmlformats.org/officeDocument/2006/relationships/fontTable" Target="fontTable.xml"/><Relationship Id="rId5" Type="http://schemas.openxmlformats.org/officeDocument/2006/relationships/hyperlink" Target="http://kodeks.systecs.ru/nk_rf/nk_glava25/nk_st290.html" TargetMode="External"/><Relationship Id="rId15" Type="http://schemas.openxmlformats.org/officeDocument/2006/relationships/hyperlink" Target="http://kodeks.systecs.ru/nk_rf/nk_glava25/nk_st300.html" TargetMode="External"/><Relationship Id="rId23" Type="http://schemas.openxmlformats.org/officeDocument/2006/relationships/hyperlink" Target="http://kodeks.systecs.ru/nk_rf/nk_glava25/nk_st251.html" TargetMode="External"/><Relationship Id="rId28" Type="http://schemas.openxmlformats.org/officeDocument/2006/relationships/hyperlink" Target="http://kodeks.systecs.ru/nk_rf/nk_glava14_3/nk_st105_12.html" TargetMode="External"/><Relationship Id="rId10" Type="http://schemas.openxmlformats.org/officeDocument/2006/relationships/hyperlink" Target="http://kodeks.systecs.ru/nk_rf/nk_glava25/nk_st267.html" TargetMode="External"/><Relationship Id="rId19" Type="http://schemas.openxmlformats.org/officeDocument/2006/relationships/hyperlink" Target="http://kodeks.systecs.ru/nk_rf/nk_glava14_2/nk_st105_3.html" TargetMode="External"/><Relationship Id="rId31" Type="http://schemas.openxmlformats.org/officeDocument/2006/relationships/hyperlink" Target="http://kodeks.systecs.ru/nk_rf/nk_glava25/nk_st280.html" TargetMode="External"/><Relationship Id="rId4" Type="http://schemas.openxmlformats.org/officeDocument/2006/relationships/hyperlink" Target="http://kodeks.systecs.ru/nk_rf/nk_glava25/nk_st249.html" TargetMode="External"/><Relationship Id="rId9" Type="http://schemas.openxmlformats.org/officeDocument/2006/relationships/hyperlink" Target="http://kodeks.systecs.ru/nk_rf/nk_glava25/nk_st266.html" TargetMode="External"/><Relationship Id="rId14" Type="http://schemas.openxmlformats.org/officeDocument/2006/relationships/hyperlink" Target="http://kodeks.systecs.ru/nk_rf/nk_glava25/nk_st294.html" TargetMode="External"/><Relationship Id="rId22" Type="http://schemas.openxmlformats.org/officeDocument/2006/relationships/hyperlink" Target="http://kodeks.systecs.ru/nk_rf/nk_glava25/nk_st251.html" TargetMode="External"/><Relationship Id="rId27" Type="http://schemas.openxmlformats.org/officeDocument/2006/relationships/hyperlink" Target="http://kodeks.systecs.ru/nk_rf/nk_glava25/nk_st319.html" TargetMode="External"/><Relationship Id="rId30" Type="http://schemas.openxmlformats.org/officeDocument/2006/relationships/hyperlink" Target="http://kodeks.systecs.ru/nk_rf/nk_glava25/nk_st26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2015-02-22T16:43:00Z</dcterms:created>
  <dcterms:modified xsi:type="dcterms:W3CDTF">2015-02-22T16:44:00Z</dcterms:modified>
</cp:coreProperties>
</file>