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BE" w:rsidRPr="00B35834" w:rsidRDefault="00C40679" w:rsidP="001922BE">
      <w:pPr>
        <w:rPr>
          <w:rFonts w:asciiTheme="majorHAnsi" w:hAnsiTheme="majorHAnsi" w:cs="Tahoma"/>
          <w:color w:val="000000"/>
          <w:sz w:val="28"/>
          <w:szCs w:val="28"/>
          <w:lang w:val="uk-UA"/>
        </w:rPr>
      </w:pPr>
      <w:r>
        <w:rPr>
          <w:rFonts w:asciiTheme="majorHAnsi" w:hAnsiTheme="majorHAnsi" w:cs="Tahoma"/>
          <w:color w:val="000000"/>
          <w:sz w:val="28"/>
          <w:szCs w:val="28"/>
        </w:rPr>
        <w:t>Налоговый</w:t>
      </w:r>
      <w:r w:rsidR="001922BE" w:rsidRPr="00B35834">
        <w:rPr>
          <w:rFonts w:asciiTheme="majorHAnsi" w:hAnsiTheme="majorHAnsi" w:cs="Tahoma"/>
          <w:color w:val="000000"/>
          <w:sz w:val="28"/>
          <w:szCs w:val="28"/>
        </w:rPr>
        <w:t xml:space="preserve"> кодекс РФ</w:t>
      </w:r>
    </w:p>
    <w:p w:rsidR="001922BE" w:rsidRPr="001922BE" w:rsidRDefault="001922BE" w:rsidP="001922BE">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1922BE">
        <w:rPr>
          <w:rFonts w:ascii="Times New Roman" w:eastAsia="Times New Roman" w:hAnsi="Times New Roman" w:cs="Times New Roman"/>
          <w:bCs/>
          <w:color w:val="FF0000"/>
          <w:kern w:val="36"/>
          <w:sz w:val="24"/>
          <w:szCs w:val="24"/>
          <w:lang w:eastAsia="ru-RU"/>
        </w:rPr>
        <w:t>Статья 333.25 НК РФ - Особенности уплаты государственной пошлины при обращении за совершением нотариальных действий</w:t>
      </w:r>
      <w:r>
        <w:rPr>
          <w:rFonts w:ascii="Times New Roman" w:eastAsia="Times New Roman" w:hAnsi="Times New Roman" w:cs="Times New Roman"/>
          <w:bCs/>
          <w:color w:val="FF0000"/>
          <w:kern w:val="36"/>
          <w:sz w:val="24"/>
          <w:szCs w:val="24"/>
          <w:lang w:eastAsia="ru-RU"/>
        </w:rPr>
        <w:t>.</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1. За совершение нотариальных действий государственная пошлина уплачивается с учетом следующих особенностей:</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1)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2) при удостоверении доверенности, выданной в отношении нескольких лиц, государственная пошлина уплачивается однократно;</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3) при наличии нескольких наследников (в частности, наследников по закону, по завещанию или наследников, имеющих право на обязательную долю в наследстве) государственная пошлина уплачивается каждым наследником;</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 xml:space="preserve">4) за выдачу свидетельства о праве на наследство, выдаваемого на основании решений суда о признании ранее выданного свидетельства о праве на наследство недействительным, государственная пошлина уплачивается в соответствии с порядком и в размерах, которые установлены настоящей главой. При этом сумма государственной пошлины, уплаченной за ранее выданное свидетельство, подлежит возврату в порядке, установленном </w:t>
      </w:r>
      <w:hyperlink r:id="rId4" w:tooltip="Статья 333.40. Основания и порядок возврата или зачета государственной пошлины" w:history="1">
        <w:r w:rsidRPr="001922BE">
          <w:rPr>
            <w:rFonts w:ascii="Times New Roman" w:eastAsia="Times New Roman" w:hAnsi="Times New Roman" w:cs="Times New Roman"/>
            <w:color w:val="0000FF"/>
            <w:sz w:val="24"/>
            <w:szCs w:val="24"/>
            <w:u w:val="single"/>
            <w:lang w:eastAsia="ru-RU"/>
          </w:rPr>
          <w:t>статьей 333.40</w:t>
        </w:r>
      </w:hyperlink>
      <w:r w:rsidRPr="001922BE">
        <w:rPr>
          <w:rFonts w:ascii="Times New Roman" w:eastAsia="Times New Roman" w:hAnsi="Times New Roman" w:cs="Times New Roman"/>
          <w:sz w:val="24"/>
          <w:szCs w:val="24"/>
          <w:lang w:eastAsia="ru-RU"/>
        </w:rPr>
        <w:t xml:space="preserve"> настоящего Кодекса. По заявлению плательщика государственная пошлина, уплаченная за ранее выданное свидетельство, подлежит зачету в счет государственной пошлины, подлежащей уплате за выдачу нового свидетельства, в течение одного года со дня вступления в законную силу соответствующего решения суда. В таком же порядке решается вопрос при повторном удостоверении договоров, признанных судом недействительными;</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5) при исчислении размера государственной пошлины за удостоверение договоров, подлежащих оценке, принимается сумма договора, указанная сторонами, но не ниже суммы, определенной в соответствии с подпунктами 7 - 10 настоящего пункта. При исчислении размера государственной пошлины за выдачу свидетельств о праве на наследство принимается стоимость наследуемого имущества, определенная в соответствии с подпунктами 7 - 10 настоящего пункта. При исчислении размера государственной пошлины за удостоверение сделок, направленных на отчуждение доли или части доли в уставном капитале общества с ограниченной ответственностью, а также сделок, устанавливающих обязательство по отчуждению доли или части доли в уставном капитале общества с ограниченной ответственностью, принимается сумма договора, указанная сторонами, но не ниже номинальной стоимости доли или части доли. При исчислении размера государственной пошлины за удостоверение договоров купли-продажи и залога доли или части доли в уставном капитале общества с ограниченной ответственностью принимается оценка доли или части доли как предмета залога, указанная сторонами договора залога, но не ниже номинальной стоимости доли, части доли соответственно.</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 xml:space="preserve">По выбору плательщика для исчисления государственной пошлины может быть представлен документ с указанием инвентаризационной, рыночной, кадастровой либо иной (номинальной) стоимости имущества, выданный лицами, указанными в подпунктах </w:t>
      </w:r>
      <w:r w:rsidRPr="001922BE">
        <w:rPr>
          <w:rFonts w:ascii="Times New Roman" w:eastAsia="Times New Roman" w:hAnsi="Times New Roman" w:cs="Times New Roman"/>
          <w:sz w:val="24"/>
          <w:szCs w:val="24"/>
          <w:lang w:eastAsia="ru-RU"/>
        </w:rPr>
        <w:lastRenderedPageBreak/>
        <w:t>7 - 10 настоящего пункта. Нотариусы и должностные лица, совершающие нотариальные действия, не вправе определять вид стоимости имущества (способ оценки) в целях исчисления государственной пошлины и требовать от плательщика представления документа, подтверждающего данный вид стоимости имущества (способ оценки).</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В случае представления нескольких документов, выданных лицами, указанными в подпунктах 7 - 10 настоящего пункта, с указанием различной стоимости имущества при исчислении размера государственной пошлины принимается наименьшая из указанных стоимостей имущества;</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6) оценка стоимости наследственного имущества производится исходя из стоимости наследуемого имущества (курса Центрального банка Российской Федерации - в отношении иностранной валюты и ценных бумаг в иностранной валюте) на день открытия наследства;</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7) 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8) стоимость недвижимого имущества, за исключением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организациями (органами) по учету объектов недвижимого имущества по месту его нахождения;</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9) стоимость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и его территориальными подразделениями;</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10) стоимость имущества, не предусмотренного подпунктами 7 - 9 настоящего пункта, определяется оценщиками или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11) оценка стоимости патента, переходящего по наследству, производится исходя из всех сумм уплаченной на день смерти наследодателя государственной пошлины за патентование изобретения, промышленного образца или полезной модели. В таком же порядке определяется стоимость переходящих по наследству прав на получение патента;</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12) оценка переходящих по наследству имущественных прав производится из стоимости имущества (курса Центрального банка Российской Федерации - в отношении иностранной валюты и ценных бумаг в иностранной валюте), на которое переходят имущественные права, на день открытия наследства;</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 xml:space="preserve">13) оценка наследственного имущества, находящегося за пределами территории Российской Федерации, или переходящих на него по наследству имущественных прав определяется исходя из суммы, указанной в оценочном документе, составленном за </w:t>
      </w:r>
      <w:r w:rsidRPr="001922BE">
        <w:rPr>
          <w:rFonts w:ascii="Times New Roman" w:eastAsia="Times New Roman" w:hAnsi="Times New Roman" w:cs="Times New Roman"/>
          <w:sz w:val="24"/>
          <w:szCs w:val="24"/>
          <w:lang w:eastAsia="ru-RU"/>
        </w:rPr>
        <w:lastRenderedPageBreak/>
        <w:t>границей должностными лицами компетентных органов и применяемом на территории Российской Федерации в соответствии с законодательством Российской Федерации.</w:t>
      </w:r>
    </w:p>
    <w:p w:rsidR="001922BE" w:rsidRPr="001922BE" w:rsidRDefault="001922BE" w:rsidP="001922BE">
      <w:pPr>
        <w:spacing w:before="100" w:beforeAutospacing="1" w:after="100" w:afterAutospacing="1" w:line="240" w:lineRule="auto"/>
        <w:rPr>
          <w:rFonts w:ascii="Times New Roman" w:eastAsia="Times New Roman" w:hAnsi="Times New Roman" w:cs="Times New Roman"/>
          <w:sz w:val="24"/>
          <w:szCs w:val="24"/>
          <w:lang w:eastAsia="ru-RU"/>
        </w:rPr>
      </w:pPr>
      <w:r w:rsidRPr="001922BE">
        <w:rPr>
          <w:rFonts w:ascii="Times New Roman" w:eastAsia="Times New Roman" w:hAnsi="Times New Roman" w:cs="Times New Roman"/>
          <w:sz w:val="24"/>
          <w:szCs w:val="24"/>
          <w:lang w:eastAsia="ru-RU"/>
        </w:rPr>
        <w:t xml:space="preserve">2. Положения настоящей статьи применяются с учетом положений </w:t>
      </w:r>
      <w:hyperlink r:id="rId5" w:tooltip="Статья 333.35. Льготы для отдельных категорий физических лиц и организаций" w:history="1">
        <w:r w:rsidRPr="001922BE">
          <w:rPr>
            <w:rFonts w:ascii="Times New Roman" w:eastAsia="Times New Roman" w:hAnsi="Times New Roman" w:cs="Times New Roman"/>
            <w:color w:val="0000FF"/>
            <w:sz w:val="24"/>
            <w:szCs w:val="24"/>
            <w:u w:val="single"/>
            <w:lang w:eastAsia="ru-RU"/>
          </w:rPr>
          <w:t>статей 333.35</w:t>
        </w:r>
      </w:hyperlink>
      <w:r w:rsidRPr="001922BE">
        <w:rPr>
          <w:rFonts w:ascii="Times New Roman" w:eastAsia="Times New Roman" w:hAnsi="Times New Roman" w:cs="Times New Roman"/>
          <w:sz w:val="24"/>
          <w:szCs w:val="24"/>
          <w:lang w:eastAsia="ru-RU"/>
        </w:rPr>
        <w:t xml:space="preserve"> и </w:t>
      </w:r>
      <w:hyperlink r:id="rId6" w:tooltip="Статья 333.38. Льготы при обращении за совершением нотариальных действий" w:history="1">
        <w:r w:rsidRPr="001922BE">
          <w:rPr>
            <w:rFonts w:ascii="Times New Roman" w:eastAsia="Times New Roman" w:hAnsi="Times New Roman" w:cs="Times New Roman"/>
            <w:color w:val="0000FF"/>
            <w:sz w:val="24"/>
            <w:szCs w:val="24"/>
            <w:u w:val="single"/>
            <w:lang w:eastAsia="ru-RU"/>
          </w:rPr>
          <w:t>333.38</w:t>
        </w:r>
      </w:hyperlink>
      <w:r w:rsidRPr="001922BE">
        <w:rPr>
          <w:rFonts w:ascii="Times New Roman" w:eastAsia="Times New Roman" w:hAnsi="Times New Roman" w:cs="Times New Roman"/>
          <w:sz w:val="24"/>
          <w:szCs w:val="24"/>
          <w:lang w:eastAsia="ru-RU"/>
        </w:rPr>
        <w:t xml:space="preserve"> настоящего Кодекса.</w:t>
      </w:r>
    </w:p>
    <w:p w:rsidR="00300C37" w:rsidRDefault="00C40679"/>
    <w:sectPr w:rsidR="00300C37" w:rsidSect="00953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922BE"/>
    <w:rsid w:val="001922BE"/>
    <w:rsid w:val="002E5764"/>
    <w:rsid w:val="00953893"/>
    <w:rsid w:val="00C126B8"/>
    <w:rsid w:val="00C40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93"/>
  </w:style>
  <w:style w:type="paragraph" w:styleId="1">
    <w:name w:val="heading 1"/>
    <w:basedOn w:val="a"/>
    <w:link w:val="10"/>
    <w:uiPriority w:val="9"/>
    <w:qFormat/>
    <w:rsid w:val="00192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2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2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22BE"/>
    <w:rPr>
      <w:color w:val="0000FF"/>
      <w:u w:val="single"/>
    </w:rPr>
  </w:style>
</w:styles>
</file>

<file path=word/webSettings.xml><?xml version="1.0" encoding="utf-8"?>
<w:webSettings xmlns:r="http://schemas.openxmlformats.org/officeDocument/2006/relationships" xmlns:w="http://schemas.openxmlformats.org/wordprocessingml/2006/main">
  <w:divs>
    <w:div w:id="12128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deks.systecs.ru/nk_rf/nk_glava25_3/nk_st333_38.html" TargetMode="External"/><Relationship Id="rId5" Type="http://schemas.openxmlformats.org/officeDocument/2006/relationships/hyperlink" Target="http://kodeks.systecs.ru/nk_rf/nk_glava25_3/nk_st333_35.html" TargetMode="External"/><Relationship Id="rId4" Type="http://schemas.openxmlformats.org/officeDocument/2006/relationships/hyperlink" Target="http://kodeks.systecs.ru/nk_rf/nk_glava25_3/nk_st333_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2015-02-22T16:28:00Z</dcterms:created>
  <dcterms:modified xsi:type="dcterms:W3CDTF">2015-02-22T16:33:00Z</dcterms:modified>
</cp:coreProperties>
</file>