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CF" w:rsidRPr="00241730" w:rsidRDefault="00142ACF" w:rsidP="00142ACF">
      <w:pPr>
        <w:rPr>
          <w:sz w:val="28"/>
          <w:szCs w:val="28"/>
        </w:rPr>
      </w:pPr>
      <w:hyperlink r:id="rId4" w:history="1">
        <w:r>
          <w:rPr>
            <w:rStyle w:val="a4"/>
            <w:color w:val="auto"/>
            <w:sz w:val="28"/>
            <w:szCs w:val="28"/>
            <w:u w:val="none"/>
          </w:rPr>
          <w:t>Налоговый</w:t>
        </w:r>
        <w:r w:rsidRPr="00241730">
          <w:rPr>
            <w:rStyle w:val="a4"/>
            <w:color w:val="auto"/>
            <w:sz w:val="28"/>
            <w:szCs w:val="28"/>
            <w:u w:val="none"/>
          </w:rPr>
          <w:t xml:space="preserve"> кодекс РФ</w:t>
        </w:r>
      </w:hyperlink>
    </w:p>
    <w:p w:rsidR="00142ACF" w:rsidRPr="00142ACF" w:rsidRDefault="00142ACF" w:rsidP="00142ACF">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142ACF">
        <w:rPr>
          <w:rFonts w:ascii="Times New Roman" w:eastAsia="Times New Roman" w:hAnsi="Times New Roman" w:cs="Times New Roman"/>
          <w:bCs/>
          <w:color w:val="FF0000"/>
          <w:kern w:val="36"/>
          <w:sz w:val="24"/>
          <w:szCs w:val="24"/>
          <w:lang w:eastAsia="ru-RU"/>
        </w:rPr>
        <w:t xml:space="preserve">Статья 274 НК РФ - Налоговая база </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 Налоговой базой для целей настоящей главы признается денежное выражение прибыли, определяемой в соответствии со </w:t>
      </w:r>
      <w:hyperlink r:id="rId5" w:tooltip="Статья 247. Объект налогообложения" w:history="1">
        <w:r w:rsidRPr="00142ACF">
          <w:rPr>
            <w:rFonts w:ascii="Times New Roman" w:eastAsia="Times New Roman" w:hAnsi="Times New Roman" w:cs="Times New Roman"/>
            <w:color w:val="0000FF"/>
            <w:sz w:val="24"/>
            <w:szCs w:val="24"/>
            <w:u w:val="single"/>
            <w:lang w:eastAsia="ru-RU"/>
          </w:rPr>
          <w:t>статьей 247</w:t>
        </w:r>
      </w:hyperlink>
      <w:r w:rsidRPr="00142ACF">
        <w:rPr>
          <w:rFonts w:ascii="Times New Roman" w:eastAsia="Times New Roman" w:hAnsi="Times New Roman" w:cs="Times New Roman"/>
          <w:sz w:val="24"/>
          <w:szCs w:val="24"/>
          <w:lang w:eastAsia="ru-RU"/>
        </w:rPr>
        <w:t xml:space="preserve"> настоящего Кодекса, подлежащей налогообложению.</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2. Налоговая база по прибыли, облагаемой по ставке, отличной от ставки, указанной в пункте 1 </w:t>
      </w:r>
      <w:hyperlink r:id="rId6" w:tooltip="Статья 284. Налоговые ставки" w:history="1">
        <w:r w:rsidRPr="00142ACF">
          <w:rPr>
            <w:rFonts w:ascii="Times New Roman" w:eastAsia="Times New Roman" w:hAnsi="Times New Roman" w:cs="Times New Roman"/>
            <w:color w:val="0000FF"/>
            <w:sz w:val="24"/>
            <w:szCs w:val="24"/>
            <w:u w:val="single"/>
            <w:lang w:eastAsia="ru-RU"/>
          </w:rPr>
          <w:t>статьи 284</w:t>
        </w:r>
      </w:hyperlink>
      <w:r w:rsidRPr="00142ACF">
        <w:rPr>
          <w:rFonts w:ascii="Times New Roman" w:eastAsia="Times New Roman" w:hAnsi="Times New Roman" w:cs="Times New Roman"/>
          <w:sz w:val="24"/>
          <w:szCs w:val="24"/>
          <w:lang w:eastAsia="ru-RU"/>
        </w:rPr>
        <w:t xml:space="preserve"> настоящего Кодекса, определяется налогоплательщиком отдельно. Налогоплательщик ведет раздельный учет доходов (расходов) по операциям, по которым в соответствии с настоящей главой предусмотрен отличный от общего порядок учета прибыли и убытка.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3. Доходы и расходы налогоплательщика в целях настоящей главы учитываются в денежной форме.</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4. Доходы, полученные в натуральной форме в результате реализации товаров (работ, услуг), имущественных прав (включая товарообменные операции), учитываются, если иное не предусмотрено настоящим Кодексом, исходя из цены сделки с учетом положений </w:t>
      </w:r>
      <w:hyperlink r:id="rId7" w:tooltip="Статья 105.3. Общие положения о налогообложении в сделках между взаимозависимыми лицами" w:history="1">
        <w:r w:rsidRPr="00142ACF">
          <w:rPr>
            <w:rFonts w:ascii="Times New Roman" w:eastAsia="Times New Roman" w:hAnsi="Times New Roman" w:cs="Times New Roman"/>
            <w:color w:val="0000FF"/>
            <w:sz w:val="24"/>
            <w:szCs w:val="24"/>
            <w:u w:val="single"/>
            <w:lang w:eastAsia="ru-RU"/>
          </w:rPr>
          <w:t>статьи 105.3</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5. Внереализационные доходы, полученные в натуральной форме, учитываются при определении налоговой базы исходя из цены сделки с учетом положений </w:t>
      </w:r>
      <w:hyperlink r:id="rId8" w:tooltip="Статья 105.3. Общие положения о налогообложении в сделках между взаимозависимыми лицами" w:history="1">
        <w:r w:rsidRPr="00142ACF">
          <w:rPr>
            <w:rFonts w:ascii="Times New Roman" w:eastAsia="Times New Roman" w:hAnsi="Times New Roman" w:cs="Times New Roman"/>
            <w:color w:val="0000FF"/>
            <w:sz w:val="24"/>
            <w:szCs w:val="24"/>
            <w:u w:val="single"/>
            <w:lang w:eastAsia="ru-RU"/>
          </w:rPr>
          <w:t>статьи 105.3</w:t>
        </w:r>
      </w:hyperlink>
      <w:r w:rsidRPr="00142ACF">
        <w:rPr>
          <w:rFonts w:ascii="Times New Roman" w:eastAsia="Times New Roman" w:hAnsi="Times New Roman" w:cs="Times New Roman"/>
          <w:sz w:val="24"/>
          <w:szCs w:val="24"/>
          <w:lang w:eastAsia="ru-RU"/>
        </w:rPr>
        <w:t xml:space="preserve"> настоящего Кодекса, если иное не предусмотрено настоящей главой.</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6. Для целей настоящей статьи рыночные цены определяются в порядке, аналогичном порядку определения рыночных цен, установленному </w:t>
      </w:r>
      <w:hyperlink r:id="rId9" w:tooltip="Статья 105.3. Общие положения о налогообложении в сделках между взаимозависимыми лицами" w:history="1">
        <w:r w:rsidRPr="00142ACF">
          <w:rPr>
            <w:rFonts w:ascii="Times New Roman" w:eastAsia="Times New Roman" w:hAnsi="Times New Roman" w:cs="Times New Roman"/>
            <w:color w:val="0000FF"/>
            <w:sz w:val="24"/>
            <w:szCs w:val="24"/>
            <w:u w:val="single"/>
            <w:lang w:eastAsia="ru-RU"/>
          </w:rPr>
          <w:t>статьей 105.3</w:t>
        </w:r>
      </w:hyperlink>
      <w:r w:rsidRPr="00142ACF">
        <w:rPr>
          <w:rFonts w:ascii="Times New Roman" w:eastAsia="Times New Roman" w:hAnsi="Times New Roman" w:cs="Times New Roman"/>
          <w:sz w:val="24"/>
          <w:szCs w:val="24"/>
          <w:lang w:eastAsia="ru-RU"/>
        </w:rPr>
        <w:t xml:space="preserve"> настоящего Кодекса, на момент реализации или совершения внереализационных операций (без включения в них налога на добавленную стоимость, акциза).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7. При определении налоговой базы прибыль, подлежащая налогообложению, определяется нарастающим итогом с начала налогового периода.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8. В случае, если в отчетном (налоговом) периоде налогоплательщиком получен убыток - отрицательная разница между доходами, определяемыми в соответствии с настоящей главой, и расходами, учитываемыми в целях налогообложения в порядке, предусмотренном настоящей главой, в данном отчетном (налоговом) периоде налоговая база признается равной нулю.</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Убытки, полученные налогоплательщиком в отчетном (налоговом) периоде, принимаются в целях налогообложения в порядке и на условиях, установленных </w:t>
      </w:r>
      <w:hyperlink r:id="rId10" w:tooltip="Статья 283. Перенос убытков на будущее" w:history="1">
        <w:r w:rsidRPr="00142ACF">
          <w:rPr>
            <w:rFonts w:ascii="Times New Roman" w:eastAsia="Times New Roman" w:hAnsi="Times New Roman" w:cs="Times New Roman"/>
            <w:color w:val="0000FF"/>
            <w:sz w:val="24"/>
            <w:szCs w:val="24"/>
            <w:u w:val="single"/>
            <w:lang w:eastAsia="ru-RU"/>
          </w:rPr>
          <w:t>статьей 283</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9. При исчислении налоговой базы не учитываются в составе доходов и расходов налогоплательщиков доходы и расходы, относящиеся к игорному бизнесу, подлежащему налогообложению в соответствии с </w:t>
      </w:r>
      <w:hyperlink r:id="rId11" w:tooltip="Глава 29. Налог на игорный бизнес" w:history="1">
        <w:r w:rsidRPr="00142ACF">
          <w:rPr>
            <w:rFonts w:ascii="Times New Roman" w:eastAsia="Times New Roman" w:hAnsi="Times New Roman" w:cs="Times New Roman"/>
            <w:color w:val="0000FF"/>
            <w:sz w:val="24"/>
            <w:szCs w:val="24"/>
            <w:u w:val="single"/>
            <w:lang w:eastAsia="ru-RU"/>
          </w:rPr>
          <w:t>главой 29</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Налогоплательщики, являющиеся организациями игорного бизнеса, а также организации, получающие доходы от деятельности, относящейся к игорному бизнесу, обязаны вести обособленный учет доходов и расходов по такой деятельности.</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lastRenderedPageBreak/>
        <w:t>При этом расходы организаций, занимающихся игорным бизнесом, в случае невозможности их разделения определяются пропорционально доле доходов организации от деятельности, относящейся к игорному бизнесу, в общем доходе организации по всем видам деятельности.</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Аналогичный порядок распространяется на организации, перешедшие на уплату налога на вмененный доход.</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10. Налогоплательщики, применяющие в соответствии с настоящим Кодексом специальные налоговые режимы, при исчислении налоговой базы по налогу не учитывают доходы и расходы, относящиеся к таким режимам.</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11. Особенности определения налоговой базы по банкам устанавливаются с учетом положений </w:t>
      </w:r>
      <w:hyperlink r:id="rId12" w:tooltip="Статья 290. Особенности определения доходов банков" w:history="1">
        <w:r w:rsidRPr="00142ACF">
          <w:rPr>
            <w:rFonts w:ascii="Times New Roman" w:eastAsia="Times New Roman" w:hAnsi="Times New Roman" w:cs="Times New Roman"/>
            <w:color w:val="0000FF"/>
            <w:sz w:val="24"/>
            <w:szCs w:val="24"/>
            <w:u w:val="single"/>
            <w:lang w:eastAsia="ru-RU"/>
          </w:rPr>
          <w:t>статей 290</w:t>
        </w:r>
      </w:hyperlink>
      <w:r w:rsidRPr="00142ACF">
        <w:rPr>
          <w:rFonts w:ascii="Times New Roman" w:eastAsia="Times New Roman" w:hAnsi="Times New Roman" w:cs="Times New Roman"/>
          <w:sz w:val="24"/>
          <w:szCs w:val="24"/>
          <w:lang w:eastAsia="ru-RU"/>
        </w:rPr>
        <w:t xml:space="preserve"> - </w:t>
      </w:r>
      <w:hyperlink r:id="rId13" w:tooltip="Статья 292. Расходы на формирование резервов банков" w:history="1">
        <w:r w:rsidRPr="00142ACF">
          <w:rPr>
            <w:rFonts w:ascii="Times New Roman" w:eastAsia="Times New Roman" w:hAnsi="Times New Roman" w:cs="Times New Roman"/>
            <w:color w:val="0000FF"/>
            <w:sz w:val="24"/>
            <w:szCs w:val="24"/>
            <w:u w:val="single"/>
            <w:lang w:eastAsia="ru-RU"/>
          </w:rPr>
          <w:t>292</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12. Особенности определения налоговой базы по страховщикам устанавливаются с учетом положений </w:t>
      </w:r>
      <w:hyperlink r:id="rId14" w:tooltip="Статья 293. Особенности определения доходов страховых организаций (страховщиков)" w:history="1">
        <w:r w:rsidRPr="00142ACF">
          <w:rPr>
            <w:rFonts w:ascii="Times New Roman" w:eastAsia="Times New Roman" w:hAnsi="Times New Roman" w:cs="Times New Roman"/>
            <w:color w:val="0000FF"/>
            <w:sz w:val="24"/>
            <w:szCs w:val="24"/>
            <w:u w:val="single"/>
            <w:lang w:eastAsia="ru-RU"/>
          </w:rPr>
          <w:t>статей 293</w:t>
        </w:r>
      </w:hyperlink>
      <w:r w:rsidRPr="00142ACF">
        <w:rPr>
          <w:rFonts w:ascii="Times New Roman" w:eastAsia="Times New Roman" w:hAnsi="Times New Roman" w:cs="Times New Roman"/>
          <w:sz w:val="24"/>
          <w:szCs w:val="24"/>
          <w:lang w:eastAsia="ru-RU"/>
        </w:rPr>
        <w:t xml:space="preserve"> и </w:t>
      </w:r>
      <w:hyperlink r:id="rId15" w:tooltip="Статья 294. Особенности определения расходов страховых организаций (страховщиков)" w:history="1">
        <w:r w:rsidRPr="00142ACF">
          <w:rPr>
            <w:rFonts w:ascii="Times New Roman" w:eastAsia="Times New Roman" w:hAnsi="Times New Roman" w:cs="Times New Roman"/>
            <w:color w:val="0000FF"/>
            <w:sz w:val="24"/>
            <w:szCs w:val="24"/>
            <w:u w:val="single"/>
            <w:lang w:eastAsia="ru-RU"/>
          </w:rPr>
          <w:t>294</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13. Особенности определения налоговой базы по негосударственным пенсионным фондам устанавливаются с учетом положений </w:t>
      </w:r>
      <w:hyperlink r:id="rId16" w:tooltip="Статья 295. Особенности определения доходов негосударственных пенсионных фондов" w:history="1">
        <w:r w:rsidRPr="00142ACF">
          <w:rPr>
            <w:rFonts w:ascii="Times New Roman" w:eastAsia="Times New Roman" w:hAnsi="Times New Roman" w:cs="Times New Roman"/>
            <w:color w:val="0000FF"/>
            <w:sz w:val="24"/>
            <w:szCs w:val="24"/>
            <w:u w:val="single"/>
            <w:lang w:eastAsia="ru-RU"/>
          </w:rPr>
          <w:t>статей 295</w:t>
        </w:r>
      </w:hyperlink>
      <w:r w:rsidRPr="00142ACF">
        <w:rPr>
          <w:rFonts w:ascii="Times New Roman" w:eastAsia="Times New Roman" w:hAnsi="Times New Roman" w:cs="Times New Roman"/>
          <w:sz w:val="24"/>
          <w:szCs w:val="24"/>
          <w:lang w:eastAsia="ru-RU"/>
        </w:rPr>
        <w:t xml:space="preserve"> и </w:t>
      </w:r>
      <w:hyperlink r:id="rId17" w:tooltip="Статья 296. Особенности определения расходов негосударственных пенсионных фондов" w:history="1">
        <w:r w:rsidRPr="00142ACF">
          <w:rPr>
            <w:rFonts w:ascii="Times New Roman" w:eastAsia="Times New Roman" w:hAnsi="Times New Roman" w:cs="Times New Roman"/>
            <w:color w:val="0000FF"/>
            <w:sz w:val="24"/>
            <w:szCs w:val="24"/>
            <w:u w:val="single"/>
            <w:lang w:eastAsia="ru-RU"/>
          </w:rPr>
          <w:t>296</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14. Особенности определения налоговой базы по профессиональным участникам рынка ценных бумаг устанавливаются с учетом положений </w:t>
      </w:r>
      <w:hyperlink r:id="rId18" w:tooltip="Статья 298. Особенности определения доходов профессиональных участников рынка ценных бумаг" w:history="1">
        <w:r w:rsidRPr="00142ACF">
          <w:rPr>
            <w:rFonts w:ascii="Times New Roman" w:eastAsia="Times New Roman" w:hAnsi="Times New Roman" w:cs="Times New Roman"/>
            <w:color w:val="0000FF"/>
            <w:sz w:val="24"/>
            <w:szCs w:val="24"/>
            <w:u w:val="single"/>
            <w:lang w:eastAsia="ru-RU"/>
          </w:rPr>
          <w:t>статей 298</w:t>
        </w:r>
      </w:hyperlink>
      <w:r w:rsidRPr="00142ACF">
        <w:rPr>
          <w:rFonts w:ascii="Times New Roman" w:eastAsia="Times New Roman" w:hAnsi="Times New Roman" w:cs="Times New Roman"/>
          <w:sz w:val="24"/>
          <w:szCs w:val="24"/>
          <w:lang w:eastAsia="ru-RU"/>
        </w:rPr>
        <w:t xml:space="preserve"> и </w:t>
      </w:r>
      <w:hyperlink r:id="rId19" w:tooltip="Статья 299. Особенности определения расходов профессиональных участников рынка ценных бумаг" w:history="1">
        <w:r w:rsidRPr="00142ACF">
          <w:rPr>
            <w:rFonts w:ascii="Times New Roman" w:eastAsia="Times New Roman" w:hAnsi="Times New Roman" w:cs="Times New Roman"/>
            <w:color w:val="0000FF"/>
            <w:sz w:val="24"/>
            <w:szCs w:val="24"/>
            <w:u w:val="single"/>
            <w:lang w:eastAsia="ru-RU"/>
          </w:rPr>
          <w:t>299</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15. Особенности определения налоговой базы по операциям с ценными бумагами устанавливаются в статье 280 с учетом положений </w:t>
      </w:r>
      <w:hyperlink r:id="rId20" w:tooltip="Статья 281. Особенности определения налоговой базы по операциям с государственными и муниципальными ценными бумагами" w:history="1">
        <w:r w:rsidRPr="00142ACF">
          <w:rPr>
            <w:rFonts w:ascii="Times New Roman" w:eastAsia="Times New Roman" w:hAnsi="Times New Roman" w:cs="Times New Roman"/>
            <w:color w:val="0000FF"/>
            <w:sz w:val="24"/>
            <w:szCs w:val="24"/>
            <w:u w:val="single"/>
            <w:lang w:eastAsia="ru-RU"/>
          </w:rPr>
          <w:t>статей 281</w:t>
        </w:r>
      </w:hyperlink>
      <w:r w:rsidRPr="00142ACF">
        <w:rPr>
          <w:rFonts w:ascii="Times New Roman" w:eastAsia="Times New Roman" w:hAnsi="Times New Roman" w:cs="Times New Roman"/>
          <w:sz w:val="24"/>
          <w:szCs w:val="24"/>
          <w:lang w:eastAsia="ru-RU"/>
        </w:rPr>
        <w:t xml:space="preserve">, </w:t>
      </w:r>
      <w:hyperlink r:id="rId21" w:tooltip="Статья 282. Особенности определения налоговой базы по операциям репо с ценными бумагами" w:history="1">
        <w:r w:rsidRPr="00142ACF">
          <w:rPr>
            <w:rFonts w:ascii="Times New Roman" w:eastAsia="Times New Roman" w:hAnsi="Times New Roman" w:cs="Times New Roman"/>
            <w:color w:val="0000FF"/>
            <w:sz w:val="24"/>
            <w:szCs w:val="24"/>
            <w:u w:val="single"/>
            <w:lang w:eastAsia="ru-RU"/>
          </w:rPr>
          <w:t>282</w:t>
        </w:r>
      </w:hyperlink>
      <w:r w:rsidRPr="00142ACF">
        <w:rPr>
          <w:rFonts w:ascii="Times New Roman" w:eastAsia="Times New Roman" w:hAnsi="Times New Roman" w:cs="Times New Roman"/>
          <w:sz w:val="24"/>
          <w:szCs w:val="24"/>
          <w:lang w:eastAsia="ru-RU"/>
        </w:rPr>
        <w:t xml:space="preserve"> и </w:t>
      </w:r>
      <w:hyperlink r:id="rId22" w:tooltip="Статья 304. Особенности определения налоговой базы по операциям с финансовыми инструментами срочных сделок" w:history="1">
        <w:r w:rsidRPr="00142ACF">
          <w:rPr>
            <w:rFonts w:ascii="Times New Roman" w:eastAsia="Times New Roman" w:hAnsi="Times New Roman" w:cs="Times New Roman"/>
            <w:color w:val="0000FF"/>
            <w:sz w:val="24"/>
            <w:szCs w:val="24"/>
            <w:u w:val="single"/>
            <w:lang w:eastAsia="ru-RU"/>
          </w:rPr>
          <w:t>304</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16. Особенности определения налоговой базы по операциям с финансовыми инструментами срочных сделок устанавливаются с учетом положений статьи 280 и </w:t>
      </w:r>
      <w:hyperlink r:id="rId23" w:tooltip="Статья 301. Срочные сделки. Особенности налогообложения" w:history="1">
        <w:r w:rsidRPr="00142ACF">
          <w:rPr>
            <w:rFonts w:ascii="Times New Roman" w:eastAsia="Times New Roman" w:hAnsi="Times New Roman" w:cs="Times New Roman"/>
            <w:color w:val="0000FF"/>
            <w:sz w:val="24"/>
            <w:szCs w:val="24"/>
            <w:u w:val="single"/>
            <w:lang w:eastAsia="ru-RU"/>
          </w:rPr>
          <w:t>статей 301</w:t>
        </w:r>
      </w:hyperlink>
      <w:r w:rsidRPr="00142ACF">
        <w:rPr>
          <w:rFonts w:ascii="Times New Roman" w:eastAsia="Times New Roman" w:hAnsi="Times New Roman" w:cs="Times New Roman"/>
          <w:sz w:val="24"/>
          <w:szCs w:val="24"/>
          <w:lang w:eastAsia="ru-RU"/>
        </w:rPr>
        <w:t xml:space="preserve"> - </w:t>
      </w:r>
      <w:hyperlink r:id="rId24" w:tooltip="Статья 305. Особенности оценки для целей налогообложения операций с финансовыми инструментами срочных сделок" w:history="1">
        <w:r w:rsidRPr="00142ACF">
          <w:rPr>
            <w:rFonts w:ascii="Times New Roman" w:eastAsia="Times New Roman" w:hAnsi="Times New Roman" w:cs="Times New Roman"/>
            <w:color w:val="0000FF"/>
            <w:sz w:val="24"/>
            <w:szCs w:val="24"/>
            <w:u w:val="single"/>
            <w:lang w:eastAsia="ru-RU"/>
          </w:rPr>
          <w:t>305</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17. Особенности определения налоговой базы клиринговыми организациями устанавливаются с учетом положений </w:t>
      </w:r>
      <w:hyperlink r:id="rId25" w:tooltip="Статья 299.1. Особенности определения доходов клиринговых организаций" w:history="1">
        <w:r w:rsidRPr="00142ACF">
          <w:rPr>
            <w:rFonts w:ascii="Times New Roman" w:eastAsia="Times New Roman" w:hAnsi="Times New Roman" w:cs="Times New Roman"/>
            <w:color w:val="0000FF"/>
            <w:sz w:val="24"/>
            <w:szCs w:val="24"/>
            <w:u w:val="single"/>
            <w:lang w:eastAsia="ru-RU"/>
          </w:rPr>
          <w:t>статей 299.1</w:t>
        </w:r>
      </w:hyperlink>
      <w:r w:rsidRPr="00142ACF">
        <w:rPr>
          <w:rFonts w:ascii="Times New Roman" w:eastAsia="Times New Roman" w:hAnsi="Times New Roman" w:cs="Times New Roman"/>
          <w:sz w:val="24"/>
          <w:szCs w:val="24"/>
          <w:lang w:eastAsia="ru-RU"/>
        </w:rPr>
        <w:t xml:space="preserve"> и </w:t>
      </w:r>
      <w:hyperlink r:id="rId26" w:tooltip="Статья 299.2. Особенности определения расходов клиринговых организаций" w:history="1">
        <w:r w:rsidRPr="00142ACF">
          <w:rPr>
            <w:rFonts w:ascii="Times New Roman" w:eastAsia="Times New Roman" w:hAnsi="Times New Roman" w:cs="Times New Roman"/>
            <w:color w:val="0000FF"/>
            <w:sz w:val="24"/>
            <w:szCs w:val="24"/>
            <w:u w:val="single"/>
            <w:lang w:eastAsia="ru-RU"/>
          </w:rPr>
          <w:t>299.2</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18. Организация, получившая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(далее в настоящем пункте - участник проекта) и прекратившая использовать право на освобождение от исполнения обязанностей налогоплательщика, по основанию, предусмотренному абзацем третьим пункта 2 </w:t>
      </w:r>
      <w:hyperlink r:id="rId27" w:tooltip="Статья 246.1. Освобождение от исполнения обязанностей налогоплательщика организации, получившей статус участника проекта по осуществлению исследований, разработок и коммерциализации их результатов" w:history="1">
        <w:r w:rsidRPr="00142ACF">
          <w:rPr>
            <w:rFonts w:ascii="Times New Roman" w:eastAsia="Times New Roman" w:hAnsi="Times New Roman" w:cs="Times New Roman"/>
            <w:color w:val="0000FF"/>
            <w:sz w:val="24"/>
            <w:szCs w:val="24"/>
            <w:u w:val="single"/>
            <w:lang w:eastAsia="ru-RU"/>
          </w:rPr>
          <w:t>статьи 246.1</w:t>
        </w:r>
      </w:hyperlink>
      <w:r w:rsidRPr="00142ACF">
        <w:rPr>
          <w:rFonts w:ascii="Times New Roman" w:eastAsia="Times New Roman" w:hAnsi="Times New Roman" w:cs="Times New Roman"/>
          <w:sz w:val="24"/>
          <w:szCs w:val="24"/>
          <w:lang w:eastAsia="ru-RU"/>
        </w:rPr>
        <w:t xml:space="preserve"> настоящего Кодекса, определяет нарастающим итогом совокупный размер прибыли, полученной за истекшие налоговые периоды с начала того налогового периода, в котором годовой объем выручки, полученной участником проекта, превысил один миллиард рублей.</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Указанный в настоящем пункте совокупный размер прибыли определяется как суммы прибыли (убытка), рассчитанные по итогам каждого предыдущего налогового периода. Для целей настоящего пункта при определении совокупного размера прибыли не учитывается прибыль (убыток), полученная по итогам налоговых периодов, предшествующих налоговому периоду, в котором годовой объем выручки, полученной участником проекта, превысил один миллиард рублей.</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lastRenderedPageBreak/>
        <w:t>Форма расчета совокупного размера прибыли устанавливается Министерством финансов Российской Федерации.</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19. Налоговая база по прибыли, полученной участниками консолидированной группы налогоплательщиков, определяется ответственным участником этой группы в порядке, установленном настоящей статьей, с учетом особенностей, установленных </w:t>
      </w:r>
      <w:hyperlink r:id="rId28" w:tooltip="Статья 278.1. Особенности определения налоговой базы по доходам, полученным участниками консолидированной группы налогоплательщиков" w:history="1">
        <w:r w:rsidRPr="00142ACF">
          <w:rPr>
            <w:rFonts w:ascii="Times New Roman" w:eastAsia="Times New Roman" w:hAnsi="Times New Roman" w:cs="Times New Roman"/>
            <w:color w:val="0000FF"/>
            <w:sz w:val="24"/>
            <w:szCs w:val="24"/>
            <w:u w:val="single"/>
            <w:lang w:eastAsia="ru-RU"/>
          </w:rPr>
          <w:t>статьями 278.1</w:t>
        </w:r>
      </w:hyperlink>
      <w:r w:rsidRPr="00142ACF">
        <w:rPr>
          <w:rFonts w:ascii="Times New Roman" w:eastAsia="Times New Roman" w:hAnsi="Times New Roman" w:cs="Times New Roman"/>
          <w:sz w:val="24"/>
          <w:szCs w:val="24"/>
          <w:lang w:eastAsia="ru-RU"/>
        </w:rPr>
        <w:t xml:space="preserve"> и </w:t>
      </w:r>
      <w:hyperlink r:id="rId29" w:tooltip="Статья 288. Особенности исчисления и уплаты налога налогоплательщиком, имеющим обособленные подразделения" w:history="1">
        <w:r w:rsidRPr="00142ACF">
          <w:rPr>
            <w:rFonts w:ascii="Times New Roman" w:eastAsia="Times New Roman" w:hAnsi="Times New Roman" w:cs="Times New Roman"/>
            <w:color w:val="0000FF"/>
            <w:sz w:val="24"/>
            <w:szCs w:val="24"/>
            <w:u w:val="single"/>
            <w:lang w:eastAsia="ru-RU"/>
          </w:rPr>
          <w:t>288</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20. Особенности определения налоговой базы налогоплательщиками, указанными в пункте 1 </w:t>
      </w:r>
      <w:hyperlink r:id="rId30" w:tooltip="Статья 275.2. Особенности определения налоговой базы при осуществлении деятельности, связанной с добычей углеводородного сырья на новом морском месторождении углеводородного сырья" w:history="1">
        <w:r w:rsidRPr="00142ACF">
          <w:rPr>
            <w:rFonts w:ascii="Times New Roman" w:eastAsia="Times New Roman" w:hAnsi="Times New Roman" w:cs="Times New Roman"/>
            <w:color w:val="0000FF"/>
            <w:sz w:val="24"/>
            <w:szCs w:val="24"/>
            <w:u w:val="single"/>
            <w:lang w:eastAsia="ru-RU"/>
          </w:rPr>
          <w:t>статьи 275.2</w:t>
        </w:r>
      </w:hyperlink>
      <w:r w:rsidRPr="00142ACF">
        <w:rPr>
          <w:rFonts w:ascii="Times New Roman" w:eastAsia="Times New Roman" w:hAnsi="Times New Roman" w:cs="Times New Roman"/>
          <w:sz w:val="24"/>
          <w:szCs w:val="24"/>
          <w:lang w:eastAsia="ru-RU"/>
        </w:rPr>
        <w:t xml:space="preserve"> настоящего Кодекса, при осуществлении деятельности, связанной с добычей углеводородного сырья на новом морском месторождении углеводородного сырья, устанавливаются </w:t>
      </w:r>
      <w:hyperlink r:id="rId31" w:tooltip="Статья 275.2. Особенности определения налоговой базы при осуществлении деятельности, связанной с добычей углеводородного сырья на новом морском месторождении углеводородного сырья" w:history="1">
        <w:r w:rsidRPr="00142ACF">
          <w:rPr>
            <w:rFonts w:ascii="Times New Roman" w:eastAsia="Times New Roman" w:hAnsi="Times New Roman" w:cs="Times New Roman"/>
            <w:color w:val="0000FF"/>
            <w:sz w:val="24"/>
            <w:szCs w:val="24"/>
            <w:u w:val="single"/>
            <w:lang w:eastAsia="ru-RU"/>
          </w:rPr>
          <w:t>статьей 275.2</w:t>
        </w:r>
      </w:hyperlink>
      <w:r w:rsidRPr="00142ACF">
        <w:rPr>
          <w:rFonts w:ascii="Times New Roman" w:eastAsia="Times New Roman" w:hAnsi="Times New Roman" w:cs="Times New Roman"/>
          <w:sz w:val="24"/>
          <w:szCs w:val="24"/>
          <w:lang w:eastAsia="ru-RU"/>
        </w:rPr>
        <w:t xml:space="preserve"> настоящего Кодекса.</w:t>
      </w:r>
    </w:p>
    <w:p w:rsidR="00142ACF" w:rsidRPr="00142ACF" w:rsidRDefault="00142ACF" w:rsidP="00142ACF">
      <w:pPr>
        <w:spacing w:before="100" w:beforeAutospacing="1" w:after="100" w:afterAutospacing="1" w:line="240" w:lineRule="auto"/>
        <w:rPr>
          <w:rFonts w:ascii="Times New Roman" w:eastAsia="Times New Roman" w:hAnsi="Times New Roman" w:cs="Times New Roman"/>
          <w:sz w:val="24"/>
          <w:szCs w:val="24"/>
          <w:lang w:eastAsia="ru-RU"/>
        </w:rPr>
      </w:pPr>
      <w:r w:rsidRPr="00142ACF">
        <w:rPr>
          <w:rFonts w:ascii="Times New Roman" w:eastAsia="Times New Roman" w:hAnsi="Times New Roman" w:cs="Times New Roman"/>
          <w:sz w:val="24"/>
          <w:szCs w:val="24"/>
          <w:lang w:eastAsia="ru-RU"/>
        </w:rPr>
        <w:t xml:space="preserve">21. Налоговая база, определяемая контролирующими лицами по прибыли контролируемых ими иностранных компаний, определяется с учетом особенностей, установленных </w:t>
      </w:r>
      <w:hyperlink r:id="rId32" w:tooltip="Статья 309.1. Особенности налогообложения прибыли контролируемых иностранных компаний" w:history="1">
        <w:r w:rsidRPr="00142ACF">
          <w:rPr>
            <w:rFonts w:ascii="Times New Roman" w:eastAsia="Times New Roman" w:hAnsi="Times New Roman" w:cs="Times New Roman"/>
            <w:color w:val="0000FF"/>
            <w:sz w:val="24"/>
            <w:szCs w:val="24"/>
            <w:u w:val="single"/>
            <w:lang w:eastAsia="ru-RU"/>
          </w:rPr>
          <w:t>статьей 309.1</w:t>
        </w:r>
      </w:hyperlink>
      <w:r w:rsidRPr="00142ACF">
        <w:rPr>
          <w:rFonts w:ascii="Times New Roman" w:eastAsia="Times New Roman" w:hAnsi="Times New Roman" w:cs="Times New Roman"/>
          <w:sz w:val="24"/>
          <w:szCs w:val="24"/>
          <w:lang w:eastAsia="ru-RU"/>
        </w:rPr>
        <w:t xml:space="preserve"> настоящего Кодекса, и не подлежит уменьшению на величину расходов по прочей деятельности, а также убытков, полученных от прочей деятельности контролирующих лиц.</w:t>
      </w:r>
    </w:p>
    <w:p w:rsidR="00300C37" w:rsidRDefault="00142ACF"/>
    <w:sectPr w:rsidR="00300C37" w:rsidSect="00051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42ACF"/>
    <w:rsid w:val="00051483"/>
    <w:rsid w:val="00142ACF"/>
    <w:rsid w:val="002E576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83"/>
  </w:style>
  <w:style w:type="paragraph" w:styleId="1">
    <w:name w:val="heading 1"/>
    <w:basedOn w:val="a"/>
    <w:link w:val="10"/>
    <w:uiPriority w:val="9"/>
    <w:qFormat/>
    <w:rsid w:val="00142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A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2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2ACF"/>
    <w:rPr>
      <w:color w:val="0000FF"/>
      <w:u w:val="single"/>
    </w:rPr>
  </w:style>
</w:styles>
</file>

<file path=word/webSettings.xml><?xml version="1.0" encoding="utf-8"?>
<w:webSettings xmlns:r="http://schemas.openxmlformats.org/officeDocument/2006/relationships" xmlns:w="http://schemas.openxmlformats.org/wordprocessingml/2006/main">
  <w:divs>
    <w:div w:id="16689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kodeks.systecs.ru/nk_rf/nk_glava14_2/nk_st105_3.html" TargetMode="External"/><Relationship Id="rId13" Type="http://schemas.openxmlformats.org/officeDocument/2006/relationships/hyperlink" Target="http://kodeks.systecs.ru/nk_rf/nk_glava25/nk_st292.html" TargetMode="External"/><Relationship Id="rId18" Type="http://schemas.openxmlformats.org/officeDocument/2006/relationships/hyperlink" Target="http://kodeks.systecs.ru/nk_rf/nk_glava25/nk_st298.html" TargetMode="External"/><Relationship Id="rId26" Type="http://schemas.openxmlformats.org/officeDocument/2006/relationships/hyperlink" Target="http://kodeks.systecs.ru/nk_rf/nk_glava25/nk_st299_2.html" TargetMode="External"/><Relationship Id="rId3" Type="http://schemas.openxmlformats.org/officeDocument/2006/relationships/webSettings" Target="webSettings.xml"/><Relationship Id="rId21" Type="http://schemas.openxmlformats.org/officeDocument/2006/relationships/hyperlink" Target="http://kodeks.systecs.ru/nk_rf/nk_glava25/nk_st282.html" TargetMode="External"/><Relationship Id="rId34" Type="http://schemas.openxmlformats.org/officeDocument/2006/relationships/theme" Target="theme/theme1.xml"/><Relationship Id="rId7" Type="http://schemas.openxmlformats.org/officeDocument/2006/relationships/hyperlink" Target="http://kodeks.systecs.ru/nk_rf/nk_glava14_2/nk_st105_3.html" TargetMode="External"/><Relationship Id="rId12" Type="http://schemas.openxmlformats.org/officeDocument/2006/relationships/hyperlink" Target="http://kodeks.systecs.ru/nk_rf/nk_glava25/nk_st290.html" TargetMode="External"/><Relationship Id="rId17" Type="http://schemas.openxmlformats.org/officeDocument/2006/relationships/hyperlink" Target="http://kodeks.systecs.ru/nk_rf/nk_glava25/nk_st296.html" TargetMode="External"/><Relationship Id="rId25" Type="http://schemas.openxmlformats.org/officeDocument/2006/relationships/hyperlink" Target="http://kodeks.systecs.ru/nk_rf/nk_glava25/nk_st299_1.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odeks.systecs.ru/nk_rf/nk_glava25/nk_st295.html" TargetMode="External"/><Relationship Id="rId20" Type="http://schemas.openxmlformats.org/officeDocument/2006/relationships/hyperlink" Target="http://kodeks.systecs.ru/nk_rf/nk_glava25/nk_st281.html" TargetMode="External"/><Relationship Id="rId29" Type="http://schemas.openxmlformats.org/officeDocument/2006/relationships/hyperlink" Target="http://kodeks.systecs.ru/nk_rf/nk_glava25/nk_st288.html" TargetMode="External"/><Relationship Id="rId1" Type="http://schemas.openxmlformats.org/officeDocument/2006/relationships/styles" Target="styles.xml"/><Relationship Id="rId6" Type="http://schemas.openxmlformats.org/officeDocument/2006/relationships/hyperlink" Target="http://kodeks.systecs.ru/nk_rf/nk_glava25/nk_st284.html" TargetMode="External"/><Relationship Id="rId11" Type="http://schemas.openxmlformats.org/officeDocument/2006/relationships/hyperlink" Target="http://kodeks.systecs.ru/nk_rf/nk_glava29/" TargetMode="External"/><Relationship Id="rId24" Type="http://schemas.openxmlformats.org/officeDocument/2006/relationships/hyperlink" Target="http://kodeks.systecs.ru/nk_rf/nk_glava25/nk_st305.html" TargetMode="External"/><Relationship Id="rId32" Type="http://schemas.openxmlformats.org/officeDocument/2006/relationships/hyperlink" Target="http://kodeks.systecs.ru/nk_rf/nk_glava25/nk_st309_1.html" TargetMode="External"/><Relationship Id="rId5" Type="http://schemas.openxmlformats.org/officeDocument/2006/relationships/hyperlink" Target="http://kodeks.systecs.ru/nk_rf/nk_glava25/nk_st247.html" TargetMode="External"/><Relationship Id="rId15" Type="http://schemas.openxmlformats.org/officeDocument/2006/relationships/hyperlink" Target="http://kodeks.systecs.ru/nk_rf/nk_glava25/nk_st294.html" TargetMode="External"/><Relationship Id="rId23" Type="http://schemas.openxmlformats.org/officeDocument/2006/relationships/hyperlink" Target="http://kodeks.systecs.ru/nk_rf/nk_glava25/nk_st301.html" TargetMode="External"/><Relationship Id="rId28" Type="http://schemas.openxmlformats.org/officeDocument/2006/relationships/hyperlink" Target="http://kodeks.systecs.ru/nk_rf/nk_glava25/nk_st278_1.html" TargetMode="External"/><Relationship Id="rId10" Type="http://schemas.openxmlformats.org/officeDocument/2006/relationships/hyperlink" Target="http://kodeks.systecs.ru/nk_rf/nk_glava25/nk_st283.html" TargetMode="External"/><Relationship Id="rId19" Type="http://schemas.openxmlformats.org/officeDocument/2006/relationships/hyperlink" Target="http://kodeks.systecs.ru/nk_rf/nk_glava25/nk_st299.html" TargetMode="External"/><Relationship Id="rId31" Type="http://schemas.openxmlformats.org/officeDocument/2006/relationships/hyperlink" Target="http://kodeks.systecs.ru/nk_rf/nk_glava25/nk_st275_2.html" TargetMode="External"/><Relationship Id="rId4" Type="http://schemas.openxmlformats.org/officeDocument/2006/relationships/hyperlink" Target="http://kodeks.systecs.ru/gk_rf/" TargetMode="External"/><Relationship Id="rId9" Type="http://schemas.openxmlformats.org/officeDocument/2006/relationships/hyperlink" Target="http://kodeks.systecs.ru/nk_rf/nk_glava14_2/nk_st105_3.html" TargetMode="External"/><Relationship Id="rId14" Type="http://schemas.openxmlformats.org/officeDocument/2006/relationships/hyperlink" Target="http://kodeks.systecs.ru/nk_rf/nk_glava25/nk_st293.html" TargetMode="External"/><Relationship Id="rId22" Type="http://schemas.openxmlformats.org/officeDocument/2006/relationships/hyperlink" Target="http://kodeks.systecs.ru/nk_rf/nk_glava25/nk_st304.html" TargetMode="External"/><Relationship Id="rId27" Type="http://schemas.openxmlformats.org/officeDocument/2006/relationships/hyperlink" Target="http://kodeks.systecs.ru/nk_rf/nk_glava25/nk_st246_1.html" TargetMode="External"/><Relationship Id="rId30" Type="http://schemas.openxmlformats.org/officeDocument/2006/relationships/hyperlink" Target="http://kodeks.systecs.ru/nk_rf/nk_glava25/nk_st275_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9577</Characters>
  <Application>Microsoft Office Word</Application>
  <DocSecurity>0</DocSecurity>
  <Lines>199</Lines>
  <Paragraphs>118</Paragraphs>
  <ScaleCrop>false</ScaleCrop>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2015-11-29T19:34:00Z</dcterms:created>
  <dcterms:modified xsi:type="dcterms:W3CDTF">2015-11-29T19:35:00Z</dcterms:modified>
</cp:coreProperties>
</file>