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6" w:rsidRDefault="006058C6" w:rsidP="006058C6">
      <w:pPr>
        <w:pStyle w:val="ConsPlusNormal"/>
        <w:ind w:firstLine="540"/>
        <w:jc w:val="both"/>
        <w:outlineLvl w:val="5"/>
      </w:pPr>
      <w:r>
        <w:t>Статья 335. Залогодатель</w:t>
      </w:r>
    </w:p>
    <w:p w:rsidR="006058C6" w:rsidRDefault="006058C6" w:rsidP="006058C6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6058C6" w:rsidRDefault="006058C6" w:rsidP="006058C6">
      <w:pPr>
        <w:pStyle w:val="ConsPlusNormal"/>
        <w:ind w:firstLine="540"/>
        <w:jc w:val="both"/>
      </w:pPr>
    </w:p>
    <w:p w:rsidR="006058C6" w:rsidRDefault="006058C6" w:rsidP="006058C6">
      <w:pPr>
        <w:pStyle w:val="ConsPlusNormal"/>
        <w:ind w:firstLine="540"/>
        <w:jc w:val="both"/>
      </w:pPr>
      <w:r>
        <w:t>1. Залогодателем может быть как сам должник, так и третье лицо.</w:t>
      </w:r>
    </w:p>
    <w:p w:rsidR="006058C6" w:rsidRDefault="006058C6" w:rsidP="006058C6">
      <w:pPr>
        <w:pStyle w:val="ConsPlusNormal"/>
        <w:ind w:firstLine="540"/>
        <w:jc w:val="both"/>
      </w:pPr>
      <w:r>
        <w:t xml:space="preserve">В случае, когда залогодателем является третье лицо, к отношениям между залогодателем, должником и залогодержателем применяются правила </w:t>
      </w:r>
      <w:hyperlink w:anchor="Par4615" w:tooltip="Статья 364. Право поручителя на возражения против требования кредитора" w:history="1">
        <w:r>
          <w:rPr>
            <w:color w:val="0000FF"/>
          </w:rPr>
          <w:t>статей 364</w:t>
        </w:r>
      </w:hyperlink>
      <w:r>
        <w:t xml:space="preserve"> - </w:t>
      </w:r>
      <w:hyperlink w:anchor="Par4639" w:tooltip="Статья 367. Прекращение поручительства" w:history="1">
        <w:r>
          <w:rPr>
            <w:color w:val="0000FF"/>
          </w:rPr>
          <w:t>367</w:t>
        </w:r>
      </w:hyperlink>
      <w:r>
        <w:t xml:space="preserve"> настоящего Кодекса, если законом или соглашением между соответствующими лицами не предусмотрено иное.</w:t>
      </w:r>
    </w:p>
    <w:p w:rsidR="006058C6" w:rsidRDefault="006058C6" w:rsidP="006058C6">
      <w:pPr>
        <w:pStyle w:val="ConsPlusNormal"/>
        <w:ind w:firstLine="540"/>
        <w:jc w:val="both"/>
      </w:pPr>
      <w:r>
        <w:t>2. Право передачи вещи в залог принадлежит собственнику вещи. Лицо, имеющее иное вещное право, может передавать вещь в залог в случаях, предусмотренных настоящим Кодексом.</w:t>
      </w:r>
    </w:p>
    <w:p w:rsidR="006058C6" w:rsidRDefault="006058C6" w:rsidP="006058C6">
      <w:pPr>
        <w:pStyle w:val="ConsPlusNormal"/>
        <w:ind w:firstLine="540"/>
        <w:jc w:val="both"/>
      </w:pPr>
      <w:bookmarkStart w:id="0" w:name="Par4089"/>
      <w:bookmarkEnd w:id="0"/>
      <w:r>
        <w:t xml:space="preserve">Если вещь передана в </w:t>
      </w:r>
      <w:proofErr w:type="gramStart"/>
      <w:r>
        <w:t>залог залогодержателю</w:t>
      </w:r>
      <w:proofErr w:type="gramEnd"/>
      <w:r>
        <w:t xml:space="preserve"> лицом, которое не являлось ее собственником или иным образом не было надлежаще </w:t>
      </w:r>
      <w:proofErr w:type="spellStart"/>
      <w:r>
        <w:t>управомочено</w:t>
      </w:r>
      <w:proofErr w:type="spellEnd"/>
      <w:r>
        <w:t xml:space="preserve"> распоряжаться имуществом, о чем залогодержатель не знал и не должен был знать (добросовестный залогодержатель), собственник заложенного имущества имеет права и несет обязанности залогодателя, предусмотренные настоящим Кодексом, другими законами и договором залога.</w:t>
      </w:r>
    </w:p>
    <w:p w:rsidR="006058C6" w:rsidRDefault="006058C6" w:rsidP="006058C6">
      <w:pPr>
        <w:pStyle w:val="ConsPlusNormal"/>
        <w:ind w:firstLine="540"/>
        <w:jc w:val="both"/>
      </w:pPr>
      <w:r>
        <w:t xml:space="preserve">Правила, предусмотренные </w:t>
      </w:r>
      <w:hyperlink w:anchor="Par4089" w:tooltip="Если вещь передана в залог залогодержателю лицом, которое не являлось ее собственником или иным образом не было надлежаще управомочено распоряжаться имуществом, о чем залогодержатель не знал и не должен был знать (добросовестный залогодержатель), собственник заложенного имущества имеет права и несет обязанности залогодателя, предусмотренные настоящим Кодексом, другими законами и договором залога." w:history="1">
        <w:r>
          <w:rPr>
            <w:color w:val="0000FF"/>
          </w:rPr>
          <w:t>абзацем вторым</w:t>
        </w:r>
      </w:hyperlink>
      <w:r>
        <w:t xml:space="preserve"> настоящего пункта, не применяются, если вещь, переданная в залог, была утеряна до этого собственником или лицом, которому вещь была передана собственником во владение, либо была похищена у того или другого, либо выбыла из их владения иным путем помимо их воли.</w:t>
      </w:r>
    </w:p>
    <w:p w:rsidR="006058C6" w:rsidRDefault="006058C6" w:rsidP="006058C6">
      <w:pPr>
        <w:pStyle w:val="ConsPlusNormal"/>
        <w:ind w:firstLine="540"/>
        <w:jc w:val="both"/>
      </w:pPr>
      <w:r>
        <w:t>3. Если предметом залога является имущество, на отчуждение которого требуется согласие или разрешение другого лица либо уполномоченного органа, такое же согласие или такое же разрешение необходимо для передачи этого имущества в залог, за исключением случаев, когда залог возникает в силу закона.</w:t>
      </w:r>
    </w:p>
    <w:p w:rsidR="006058C6" w:rsidRDefault="006058C6" w:rsidP="006058C6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имущество залогодателя, являющееся предметом залога, перешло в порядке правопреемства к нескольким лицам, каждый из правопреемников (приобретателей имущества) несет вытекающие из залога последствия неисполнения обеспеченного залогом обязательства соразмерно перешедшей к нему части указанного имущества. Если предмет залога неделим или по иным основаниям остается в общей собственности правопреемников, они становятся солидарными </w:t>
      </w:r>
      <w:proofErr w:type="spellStart"/>
      <w:r>
        <w:t>созалогодателями</w:t>
      </w:r>
      <w:proofErr w:type="spellEnd"/>
      <w:r>
        <w:t>.</w:t>
      </w:r>
    </w:p>
    <w:p w:rsidR="00DE2208" w:rsidRDefault="00DE2208">
      <w:bookmarkStart w:id="1" w:name="_GoBack"/>
      <w:bookmarkEnd w:id="1"/>
    </w:p>
    <w:sectPr w:rsidR="00D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A"/>
    <w:rsid w:val="006058C6"/>
    <w:rsid w:val="00772F1A"/>
    <w:rsid w:val="00D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2017-01-28T19:52:00Z</dcterms:created>
  <dcterms:modified xsi:type="dcterms:W3CDTF">2017-01-28T19:52:00Z</dcterms:modified>
</cp:coreProperties>
</file>