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3F" w:rsidRPr="009E063F" w:rsidRDefault="009E063F" w:rsidP="009E063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9E063F">
        <w:rPr>
          <w:rFonts w:ascii="Times New Roman" w:eastAsia="Times New Roman" w:hAnsi="Times New Roman" w:cs="Times New Roman"/>
          <w:b/>
          <w:bCs/>
          <w:sz w:val="20"/>
          <w:szCs w:val="20"/>
          <w:lang w:eastAsia="ru-RU"/>
        </w:rPr>
        <w:t>Статья 212. Особенности определения налоговой базы при получении доходов в виде материальной выгоды</w:t>
      </w:r>
    </w:p>
    <w:p w:rsidR="009E063F" w:rsidRPr="009E063F" w:rsidRDefault="009E063F" w:rsidP="009E063F">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9E063F">
          <w:rPr>
            <w:rFonts w:ascii="Times New Roman" w:eastAsia="Times New Roman" w:hAnsi="Times New Roman" w:cs="Times New Roman"/>
            <w:b/>
            <w:bCs/>
            <w:color w:val="707070"/>
            <w:sz w:val="20"/>
            <w:szCs w:val="20"/>
            <w:u w:val="single"/>
            <w:lang w:eastAsia="ru-RU"/>
          </w:rPr>
          <w:t>[Налоговый кодекс РФ]</w:t>
        </w:r>
      </w:hyperlink>
      <w:r w:rsidRPr="009E063F">
        <w:rPr>
          <w:rFonts w:ascii="Times New Roman" w:eastAsia="Times New Roman" w:hAnsi="Times New Roman" w:cs="Times New Roman"/>
          <w:sz w:val="24"/>
          <w:szCs w:val="24"/>
          <w:lang w:eastAsia="ru-RU"/>
        </w:rPr>
        <w:t> </w:t>
      </w:r>
      <w:hyperlink r:id="rId5" w:tooltip="Налог на доходы физических лиц" w:history="1">
        <w:r w:rsidRPr="009E063F">
          <w:rPr>
            <w:rFonts w:ascii="Times New Roman" w:eastAsia="Times New Roman" w:hAnsi="Times New Roman" w:cs="Times New Roman"/>
            <w:b/>
            <w:bCs/>
            <w:color w:val="707070"/>
            <w:sz w:val="20"/>
            <w:szCs w:val="20"/>
            <w:u w:val="single"/>
            <w:lang w:eastAsia="ru-RU"/>
          </w:rPr>
          <w:t>[Глава 23]</w:t>
        </w:r>
      </w:hyperlink>
      <w:r w:rsidRPr="009E063F">
        <w:rPr>
          <w:rFonts w:ascii="Times New Roman" w:eastAsia="Times New Roman" w:hAnsi="Times New Roman" w:cs="Times New Roman"/>
          <w:sz w:val="24"/>
          <w:szCs w:val="24"/>
          <w:lang w:eastAsia="ru-RU"/>
        </w:rPr>
        <w:t> </w:t>
      </w:r>
      <w:hyperlink r:id="rId6" w:tooltip="Особенности определения налоговой базы при получении доходов в виде материальной выгоды" w:history="1">
        <w:r w:rsidRPr="009E063F">
          <w:rPr>
            <w:rFonts w:ascii="Times New Roman" w:eastAsia="Times New Roman" w:hAnsi="Times New Roman" w:cs="Times New Roman"/>
            <w:b/>
            <w:bCs/>
            <w:color w:val="707070"/>
            <w:sz w:val="20"/>
            <w:szCs w:val="20"/>
            <w:u w:val="single"/>
            <w:lang w:eastAsia="ru-RU"/>
          </w:rPr>
          <w:t>[Статья 212]</w:t>
        </w:r>
      </w:hyperlink>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1. Доходом налогоплательщика, полученным в виде материальной выгоды, являются:</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1)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материальной выгоды, полученной от банков, находящихся на территории Российской Федерации, в связи с операциями с банковскими картами в течение беспроцентного периода, установленного в договоре о предоставлении банковской карты;</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материальной выгоды, полученной от экономии на процентах за пользование заемными (кредитными) средствами, предоставленными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материальной выгоды, полученной от экономии на процентах за пользование заемными (кредитными) средствами, предоставленными банками, находящимися на территории Российской Федерации, в целях рефинансирования (</w:t>
      </w:r>
      <w:proofErr w:type="spellStart"/>
      <w:r w:rsidRPr="009E063F">
        <w:rPr>
          <w:rFonts w:ascii="Arial" w:eastAsia="Times New Roman" w:hAnsi="Arial" w:cs="Arial"/>
          <w:color w:val="000000"/>
          <w:sz w:val="20"/>
          <w:szCs w:val="20"/>
          <w:lang w:eastAsia="ru-RU"/>
        </w:rPr>
        <w:t>перекредитования</w:t>
      </w:r>
      <w:proofErr w:type="spellEnd"/>
      <w:r w:rsidRPr="009E063F">
        <w:rPr>
          <w:rFonts w:ascii="Arial" w:eastAsia="Times New Roman" w:hAnsi="Arial" w:cs="Arial"/>
          <w:color w:val="000000"/>
          <w:sz w:val="20"/>
          <w:szCs w:val="20"/>
          <w:lang w:eastAsia="ru-RU"/>
        </w:rPr>
        <w:t>) займов (кредитов), полученных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Материальная выгода, указанная в абзацах третьем и четвертом настоящего подпункта, освобождается от налогообложения при условии наличия права у налогоплательщика на получение имущественного налогового вычета, установленного подпунктом 3 пункта 1 статьи 220 настоящего Кодекса, подтвержденного налоговым органом в порядке, предусмотренном пунктом 8 статьи 220 настоящего Кодекса;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3) материальная выгода, полученная от приобретения ценных бумаг, производных финансовых инструментов, за исключением ценных бумаг, приобретенных у контролируемой иностранной компании налогоплательщиком, признаваемым контролирующим лицом такой иностранной компании, а также российским взаимозависимым лицом такого контролирующего лица, при условии, что доходы такой контролируемой иностранной компании от реализации указанных ценных бумаг и расходы в виде цены приобретения ценных бумаг исключаются из прибыли (убытка) этой иностранной компании на основании пункта 10 статьи 309.1 настоящего Кодекса.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2. При получении налогоплательщиком дохода в виде материальной выгоды, указанной в подпункте 1 пункта 1 настоящей статьи, налоговая база определяется как:</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1) превышение суммы процентов за пользование заемными (кредитными) средствами, выраженными в рублях, исчисленной исходя из двух третьих действующей ставки рефинансирования, установленной Центральным банком Российской Федерации на дату фактического получения налогоплательщиком дохода, над суммой процентов, исчисленной исходя из условий договора;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lastRenderedPageBreak/>
        <w:t>Определение налоговой базы при получении дохода в виде материальной выгоды, полученной от экономии на процентах при получении заемных (кредитных) средств, исчисление, удержание и перечисление налога осуществляются налоговым агентом в порядке, установленном настоящим Кодексом.</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3. При получении налогоплательщиком дохода в виде материальной выгоды, указанной в подпункте 2 пункта 1 настоящей статьи, налоговая база определяется как превышение цены идентичных (однородных) товаров (работ, услуг), реализуемых лицами, являющимися взаимозависимыми по отношению к налогоплательщику, в обычных условиях лицам, не являющимся взаимозависимыми, над ценами реализации идентичных (однородных) товаров (работ, услуг) налогоплательщику.</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4. При получении налогоплательщиком дохода в виде материальной выгоды, указанной в подпункте 3 пункта 1 настоящей статьи, налоговая база определяется как превышение рыночной стоимости ценных бумаг, производных финансовых инструментов над суммой фактических расходов налогоплательщика на их приобретение.</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В целях настоящей статьи в расходы на приобретение ценных бумаг, являющихся базисным активом опционного контракта, включаются суммы, уплаченные продавцу за ценные бумаги в соответствии с таким контрактом, а также уплаченные суммы премии и вариационной маржи по опционным контрактам.</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Материальная выгода не возникает при приобретении налогоплательщиком ценных бумаг по первой или второй части РЕПО при условии исполнения сторонами обязательств по первой и второй частям РЕПО, а также в случае оформленного надлежащим образом прекращения обязательств по первой или второй части РЕПО по основаниям, отличным от надлежащего исполнения, в том числе зачетом встречных однородных требований, возникших из другой операции РЕПО.</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Рыночная стоимость ценных бумаг, обращающихся на организованном рынке ценных бумаг, определяется исходя из их рыночной цены с учетом предельной границы ее колебаний, если иное не установлено настоящей статьей.</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Рыночная стоимость ценных бумаг, не обращающихся на организованном рынке ценных бумаг, определяется исходя из расчетной цены ценных бумаг с учетом предельной границы ее колебаний, если иное не установлено настоящей статьей.</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Рыночная стоимость ценных бумаг, обращающихся и не обращающихся на организованном рынке ценных бумаг, определяется на дату совершения сделки.</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Порядок определения рыночной цены ценных бумаг, расчетной цены ценных бумаг, а также порядок определения предельной границы колебаний рыночной цены устанавливаются в целях настоящей главы Центральным банком Российской Федерации по согласованию с Министерством финансов Российской Федерации с учетом положений настоящего пункта.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Расчетной ценой инвестиционного пая закрытого инвестиционного фонда (интервального паевого инвестиционного фонда), не обращающегося на организованном рынке ценных бумаг, признается последняя расчетная стоимость инвестиционного пая, определенная управляющей компанией, осуществляющей доверительное управление имуществом, составляющим соответствующий паевой инвестиционный фонд, в соответствии с законодательством Российской Федерации об инвестиционных фондах, без учета предельной границы колебаний расчетной цены ценных бумаг.</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Рыночной стоимостью инвестиционного пая паевого инвестиционного фонда (обращающегося и не обращающегося на организованном рынке ценных бумаг) в случае его приобретения у управляющей компании, осуществляющей доверительное управление имуществом, составляющим соответствующий паевой инвестиционный фонд, признается последняя расчетная стоимость инвестиционного пая, определенная указанной управляющей компанией в соответствии с законодательством Российской Федерации об инвестиционных фондах, без учета предельной границы колебаний рыночной или расчетной цены ценных бумаг.</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 xml:space="preserve">Если в соответствии с законодательством Российской Федерации об инвестиционных фондах выдача инвестиционного пая паевого инвестиционного фонда, ограниченного в обороте, </w:t>
      </w:r>
      <w:r w:rsidRPr="009E063F">
        <w:rPr>
          <w:rFonts w:ascii="Arial" w:eastAsia="Times New Roman" w:hAnsi="Arial" w:cs="Arial"/>
          <w:color w:val="000000"/>
          <w:sz w:val="20"/>
          <w:szCs w:val="20"/>
          <w:lang w:eastAsia="ru-RU"/>
        </w:rPr>
        <w:lastRenderedPageBreak/>
        <w:t>осуществляется не по расчетной стоимости инвестиционного пая, рыночной стоимостью такого инвестиционного пая признается сумма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 xml:space="preserve">Рыночной стоимостью </w:t>
      </w:r>
      <w:proofErr w:type="gramStart"/>
      <w:r w:rsidRPr="009E063F">
        <w:rPr>
          <w:rFonts w:ascii="Arial" w:eastAsia="Times New Roman" w:hAnsi="Arial" w:cs="Arial"/>
          <w:color w:val="000000"/>
          <w:sz w:val="20"/>
          <w:szCs w:val="20"/>
          <w:lang w:eastAsia="ru-RU"/>
        </w:rPr>
        <w:t>инвестиционного пая</w:t>
      </w:r>
      <w:proofErr w:type="gramEnd"/>
      <w:r w:rsidRPr="009E063F">
        <w:rPr>
          <w:rFonts w:ascii="Arial" w:eastAsia="Times New Roman" w:hAnsi="Arial" w:cs="Arial"/>
          <w:color w:val="000000"/>
          <w:sz w:val="20"/>
          <w:szCs w:val="20"/>
          <w:lang w:eastAsia="ru-RU"/>
        </w:rPr>
        <w:t xml:space="preserve"> открытого паевого инвестиционного фонда признается последняя расчетная стоимость инвестиционного пая, определенная управляющей компанией, осуществляющей доверительное управление имуществом, составляющим соответствующий открытый паевой инвестиционный фонд, в соответствии с законодательством Российской Федерации об инвестиционных фондах, без учета предельной границы колебаний рыночной цены ценных бумаг.</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Рыночная стоимость производных финансовых инструментов, обращающихся на организованном рынке, определяется в соответствии с пунктом 1 статьи 305 настоящего Кодекса.</w:t>
      </w:r>
    </w:p>
    <w:p w:rsidR="009E063F" w:rsidRPr="009E063F" w:rsidRDefault="009E063F" w:rsidP="009E063F">
      <w:pPr>
        <w:shd w:val="clear" w:color="auto" w:fill="FFFFFF"/>
        <w:spacing w:before="240" w:after="240" w:line="240" w:lineRule="auto"/>
        <w:rPr>
          <w:rFonts w:ascii="Arial" w:eastAsia="Times New Roman" w:hAnsi="Arial" w:cs="Arial"/>
          <w:color w:val="000000"/>
          <w:sz w:val="20"/>
          <w:szCs w:val="20"/>
          <w:lang w:eastAsia="ru-RU"/>
        </w:rPr>
      </w:pPr>
      <w:r w:rsidRPr="009E063F">
        <w:rPr>
          <w:rFonts w:ascii="Arial" w:eastAsia="Times New Roman" w:hAnsi="Arial" w:cs="Arial"/>
          <w:color w:val="000000"/>
          <w:sz w:val="20"/>
          <w:szCs w:val="20"/>
          <w:lang w:eastAsia="ru-RU"/>
        </w:rPr>
        <w:t>Рыночная стоимость производных финансовых инструментов, не обращающихся на организованном рынке, определяется в соответствии с пунктом 2 статьи 305 настоящего Кодекса.</w:t>
      </w:r>
    </w:p>
    <w:p w:rsidR="00EA2C68" w:rsidRDefault="00EA2C68">
      <w:bookmarkStart w:id="0" w:name="_GoBack"/>
      <w:bookmarkEnd w:id="0"/>
    </w:p>
    <w:sectPr w:rsidR="00EA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1A"/>
    <w:rsid w:val="0080451A"/>
    <w:rsid w:val="009E063F"/>
    <w:rsid w:val="00EA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E68B-EA06-4381-B072-DD38439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E0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6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E063F"/>
    <w:rPr>
      <w:color w:val="0000FF"/>
      <w:u w:val="single"/>
    </w:rPr>
  </w:style>
  <w:style w:type="character" w:customStyle="1" w:styleId="apple-converted-space">
    <w:name w:val="apple-converted-space"/>
    <w:basedOn w:val="a0"/>
    <w:rsid w:val="009E063F"/>
  </w:style>
  <w:style w:type="paragraph" w:styleId="a4">
    <w:name w:val="Normal (Web)"/>
    <w:basedOn w:val="a"/>
    <w:uiPriority w:val="99"/>
    <w:semiHidden/>
    <w:unhideWhenUsed/>
    <w:rsid w:val="009E0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0148">
      <w:bodyDiv w:val="1"/>
      <w:marLeft w:val="0"/>
      <w:marRight w:val="0"/>
      <w:marTop w:val="0"/>
      <w:marBottom w:val="0"/>
      <w:divBdr>
        <w:top w:val="none" w:sz="0" w:space="0" w:color="auto"/>
        <w:left w:val="none" w:sz="0" w:space="0" w:color="auto"/>
        <w:bottom w:val="none" w:sz="0" w:space="0" w:color="auto"/>
        <w:right w:val="none" w:sz="0" w:space="0" w:color="auto"/>
      </w:divBdr>
      <w:divsChild>
        <w:div w:id="778065663">
          <w:marLeft w:val="0"/>
          <w:marRight w:val="0"/>
          <w:marTop w:val="0"/>
          <w:marBottom w:val="0"/>
          <w:divBdr>
            <w:top w:val="none" w:sz="0" w:space="0" w:color="auto"/>
            <w:left w:val="none" w:sz="0" w:space="0" w:color="auto"/>
            <w:bottom w:val="none" w:sz="0" w:space="0" w:color="auto"/>
            <w:right w:val="none" w:sz="0" w:space="0" w:color="auto"/>
          </w:divBdr>
        </w:div>
        <w:div w:id="509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12/"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2017-03-08T15:23:00Z</dcterms:created>
  <dcterms:modified xsi:type="dcterms:W3CDTF">2017-03-08T15:23:00Z</dcterms:modified>
</cp:coreProperties>
</file>