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44124" w:rsidRPr="00E44124" w:rsidTr="00E4412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E44124" w:rsidRPr="00E441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44124" w:rsidRPr="00B35834" w:rsidRDefault="00E44124" w:rsidP="00E44124">
                  <w:pPr>
                    <w:rPr>
                      <w:rFonts w:asciiTheme="majorHAnsi" w:hAnsiTheme="majorHAnsi" w:cs="Tahoma"/>
                      <w:color w:val="000000"/>
                      <w:sz w:val="28"/>
                      <w:szCs w:val="28"/>
                      <w:lang w:val="uk-UA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"http://kodeks.systecs.ru/nk_rf/nk_glava23/" </w:instrText>
                  </w: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>
                    <w:rPr>
                      <w:rFonts w:asciiTheme="majorHAnsi" w:hAnsiTheme="majorHAnsi" w:cs="Tahoma"/>
                      <w:color w:val="000000"/>
                      <w:sz w:val="28"/>
                      <w:szCs w:val="28"/>
                    </w:rPr>
                    <w:t xml:space="preserve"> Налоговый</w:t>
                  </w:r>
                  <w:r w:rsidRPr="00B35834">
                    <w:rPr>
                      <w:rFonts w:asciiTheme="majorHAnsi" w:hAnsiTheme="majorHAnsi" w:cs="Tahoma"/>
                      <w:color w:val="000000"/>
                      <w:sz w:val="28"/>
                      <w:szCs w:val="28"/>
                    </w:rPr>
                    <w:t xml:space="preserve"> кодекс РФ</w:t>
                  </w:r>
                </w:p>
                <w:p w:rsidR="00E44124" w:rsidRPr="00E44124" w:rsidRDefault="00E44124" w:rsidP="00E441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FF0000"/>
                      <w:kern w:val="36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E44124">
                    <w:rPr>
                      <w:rFonts w:ascii="Times New Roman" w:eastAsia="Times New Roman" w:hAnsi="Times New Roman" w:cs="Times New Roman"/>
                      <w:bCs/>
                      <w:color w:val="FF0000"/>
                      <w:kern w:val="36"/>
                      <w:sz w:val="24"/>
                      <w:szCs w:val="24"/>
                      <w:lang w:eastAsia="ru-RU"/>
                    </w:rPr>
                    <w:t>Статья 224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kern w:val="36"/>
                      <w:sz w:val="24"/>
                      <w:szCs w:val="24"/>
                      <w:lang w:eastAsia="ru-RU"/>
                    </w:rPr>
                    <w:t>.</w:t>
                  </w:r>
                  <w:r w:rsidRPr="00E44124">
                    <w:rPr>
                      <w:rFonts w:ascii="Times New Roman" w:eastAsia="Times New Roman" w:hAnsi="Times New Roman" w:cs="Times New Roman"/>
                      <w:bCs/>
                      <w:color w:val="FF0000"/>
                      <w:kern w:val="36"/>
                      <w:sz w:val="24"/>
                      <w:szCs w:val="24"/>
                      <w:lang w:eastAsia="ru-RU"/>
                    </w:rPr>
                    <w:t xml:space="preserve"> Налоговые ставки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Налоговая ставка устанавливается в размере 13 процентов, если иное не предусмотрено настоящей статьей.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Налоговая ставка устанавливается в размере 35 процентов в отношении следующих доходов: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абзац исключен. i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стоимости любых выигрышей и призов, получаемых в проводимых конкурсах, играх и других мероприятиях в целях рекламы товаров, работ и услуг, в части превышения размеров, указанных в пункте 28 </w:t>
                  </w:r>
                  <w:hyperlink r:id="rId5" w:tooltip="Статья 217. Доходы, не подлежащие налогообложению (освобождаемые от налогообложения)" w:history="1">
                    <w:r w:rsidRPr="00E441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статьи 217</w:t>
                    </w:r>
                  </w:hyperlink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Кодекса;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абзац утратил силу с 1 января 2008 года. i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процентных доходов по вкладам в банках в части превышения размеров, указанных в </w:t>
                  </w:r>
                  <w:hyperlink r:id="rId6" w:tooltip="Статья 214.2. Особенности определения налоговой базы при получении доходов в виде процентов, получаемых по вкладам в банках" w:history="1">
                    <w:r w:rsidRPr="00E441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статье 214.2</w:t>
                    </w:r>
                  </w:hyperlink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Кодекса;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суммы экономии на процентах при получении налогоплательщиками заемных (кредитных) средств в части превышения размеров, указанных в пункте 2 </w:t>
                  </w:r>
                  <w:hyperlink r:id="rId7" w:tooltip="Статья 212. Особенности определения налоговой базы при получении доходов в виде материальной выгоды" w:history="1">
                    <w:r w:rsidRPr="00E441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статьи 212</w:t>
                    </w:r>
                  </w:hyperlink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Кодекса;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виде платы за использование денежных средств членов кредитного потребительского кооператива (пайщиков), а также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кооператива, в части превышения размеров, указанных в </w:t>
                  </w:r>
                  <w:hyperlink r:id="rId8" w:tooltip="Статья 214.2.1. Особенности определения налоговой базы при получении доходов в виде платы за использование денежных средств членов кредитного потребительского кооператива (пайщиков), процентов за использование сельскохозяйственным кредитным потребительским кооперативом средств,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" w:history="1">
                    <w:r w:rsidRPr="00E441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статье 214.2.1</w:t>
                    </w:r>
                  </w:hyperlink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Кодекса.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Налоговая ставка устанавливается в размере 30 процентов в отношении всех доходов, получаемых физическими лицами, не являющимися налоговыми резидентами Российской Федерации, за исключением доходов, получаемых: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виде дивидендов от долевого участия в деятельности российских организаций, в отношении которых налоговая ставка устанавливается в размере 15 процентов;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осуществления трудовой деятельности, указанной в </w:t>
                  </w:r>
                  <w:hyperlink r:id="rId9" w:tooltip="Статья 227.1. Особенности исчисления суммы налога и подачи налоговой декларации иностранными гражданами, осуществляющими трудовую деятельность по найму у физических лиц на основании трудового договора или гражданско-правового договора на выполнение работ (оказание услуг) для личных, домашних и иных подобных нужд, не связанных с осуществлением предпринимательской деятельности. Порядок уплаты налога" w:history="1">
                    <w:r w:rsidRPr="00E4412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статье 227.1</w:t>
                    </w:r>
                  </w:hyperlink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настоящего Кодекса, в отношении которых налоговая ставка устанавливается в размере 13 процентов;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осуществления трудовой деятельности в качестве высококвалифицированного специалиста в соответствии с Федеральным законом от 25 июля 2002 года №115-ФЗ "О правовом положении иностранных граждан в Российской Федерации", в отношении которых налоговая ставка устанавливается в размере 13 процентов;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осуществления трудовой деятельности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а также членами их семей, совместно переселившимися на постоянное место жительства в Российскую Федерацию, в </w:t>
                  </w: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отношении которых налоговая ставка устанавливается в размере 13 процентов;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исполнения трудовых обязанностей членами экипажей судов, плавающих под Государственным флагом Российской Федерации, в отношении которых налоговая ставка устанавливается в размере 13 процентов.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Налоговая ставка устанавливается в размере 9 процентов в отношении доходов от долевого участия в деятельности организаций, полученных в виде дивидендов физическими лицами, являющимися налоговыми резидентами Российской Федерации.</w:t>
                  </w:r>
                </w:p>
                <w:p w:rsidR="00E44124" w:rsidRPr="00E44124" w:rsidRDefault="00E44124" w:rsidP="00E441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1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Налоговая ставка устанавливается в размере 9 процентов в отношении доходов в виде процентов по облигациям с ипотечным покрытием, эмитированным до 1 января 2007 года, а также по доходам учредителей доверительного управления ипотечным покрытием, полученным на основании приобретения ипотечных сертификатов участия, выданных управляющим ипотечным покрытием до 1 января 2007 года.</w:t>
                  </w:r>
                </w:p>
              </w:tc>
            </w:tr>
          </w:tbl>
          <w:p w:rsidR="00E44124" w:rsidRPr="00E44124" w:rsidRDefault="00E44124" w:rsidP="00E4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C37" w:rsidRDefault="00E44124"/>
    <w:sectPr w:rsidR="00300C37" w:rsidSect="0095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44124"/>
    <w:rsid w:val="002E5764"/>
    <w:rsid w:val="00953893"/>
    <w:rsid w:val="00C126B8"/>
    <w:rsid w:val="00E4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3"/>
  </w:style>
  <w:style w:type="paragraph" w:styleId="1">
    <w:name w:val="heading 1"/>
    <w:basedOn w:val="a"/>
    <w:link w:val="10"/>
    <w:uiPriority w:val="9"/>
    <w:qFormat/>
    <w:rsid w:val="00E441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1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al">
    <w:name w:val="deal"/>
    <w:basedOn w:val="a0"/>
    <w:rsid w:val="00E44124"/>
  </w:style>
  <w:style w:type="character" w:customStyle="1" w:styleId="deal-cons">
    <w:name w:val="deal-cons"/>
    <w:basedOn w:val="a0"/>
    <w:rsid w:val="00E44124"/>
  </w:style>
  <w:style w:type="character" w:styleId="a3">
    <w:name w:val="Hyperlink"/>
    <w:basedOn w:val="a0"/>
    <w:uiPriority w:val="99"/>
    <w:semiHidden/>
    <w:unhideWhenUsed/>
    <w:rsid w:val="00E441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a">
    <w:name w:val="infoa"/>
    <w:basedOn w:val="a0"/>
    <w:rsid w:val="00E44124"/>
  </w:style>
  <w:style w:type="paragraph" w:styleId="a5">
    <w:name w:val="Balloon Text"/>
    <w:basedOn w:val="a"/>
    <w:link w:val="a6"/>
    <w:uiPriority w:val="99"/>
    <w:semiHidden/>
    <w:unhideWhenUsed/>
    <w:rsid w:val="00E4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0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7763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nk_rf/nk_glava23/nk_st214_2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.systecs.ru/nk_rf/nk_glava23/nk_st21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deks.systecs.ru/nk_rf/nk_glava23/nk_st214_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deks.systecs.ru/nk_rf/nk_glava23/nk_st217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odeks.systecs.ru/nk_rf/nk_glava23/nk_st227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F5D0-76E1-470C-9291-CBEACCD6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2015-02-22T16:39:00Z</dcterms:created>
  <dcterms:modified xsi:type="dcterms:W3CDTF">2015-02-22T16:41:00Z</dcterms:modified>
</cp:coreProperties>
</file>