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D06">
      <w:pPr>
        <w:pStyle w:val="ConsPlusNormal"/>
        <w:jc w:val="both"/>
        <w:outlineLvl w:val="0"/>
      </w:pPr>
    </w:p>
    <w:p w:rsidR="00000000" w:rsidRDefault="00707D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07D06">
      <w:pPr>
        <w:pStyle w:val="ConsPlusTitle"/>
        <w:jc w:val="center"/>
      </w:pPr>
    </w:p>
    <w:p w:rsidR="00000000" w:rsidRDefault="00707D06">
      <w:pPr>
        <w:pStyle w:val="ConsPlusTitle"/>
        <w:jc w:val="center"/>
      </w:pPr>
      <w:r>
        <w:t>ПОСТАНОВЛЕНИЕ</w:t>
      </w:r>
    </w:p>
    <w:p w:rsidR="00000000" w:rsidRDefault="00707D06">
      <w:pPr>
        <w:pStyle w:val="ConsPlusTitle"/>
        <w:jc w:val="center"/>
      </w:pPr>
      <w:r>
        <w:t>от 28 февраля 2012 г. N 166</w:t>
      </w:r>
    </w:p>
    <w:p w:rsidR="00000000" w:rsidRDefault="00707D06">
      <w:pPr>
        <w:pStyle w:val="ConsPlusTitle"/>
        <w:jc w:val="center"/>
      </w:pPr>
    </w:p>
    <w:p w:rsidR="00000000" w:rsidRDefault="00707D06">
      <w:pPr>
        <w:pStyle w:val="ConsPlusTitle"/>
        <w:jc w:val="center"/>
      </w:pPr>
      <w:r>
        <w:t>ОБ УТВЕРЖДЕНИИ ПРАВИЛ</w:t>
      </w:r>
    </w:p>
    <w:p w:rsidR="00000000" w:rsidRDefault="00707D0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707D06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707D06">
      <w:pPr>
        <w:pStyle w:val="ConsPlusTitle"/>
        <w:jc w:val="center"/>
      </w:pPr>
      <w:r>
        <w:t>НА ПОДДЕРЖКУ НАЧИНАЮЩИХ ФЕРМЕРОВ</w:t>
      </w:r>
    </w:p>
    <w:p w:rsidR="00000000" w:rsidRDefault="00707D06">
      <w:pPr>
        <w:pStyle w:val="ConsPlusNormal"/>
        <w:jc w:val="center"/>
      </w:pPr>
      <w:r>
        <w:t>Список изменяющих документов</w:t>
      </w:r>
    </w:p>
    <w:p w:rsidR="00000000" w:rsidRDefault="00707D06">
      <w:pPr>
        <w:pStyle w:val="ConsPlusNormal"/>
        <w:jc w:val="center"/>
      </w:pPr>
      <w:r>
        <w:t>(в ред. Постановлений Правительства РФ от 27.09.2012 N 991,</w:t>
      </w:r>
    </w:p>
    <w:p w:rsidR="00000000" w:rsidRDefault="00707D06">
      <w:pPr>
        <w:pStyle w:val="ConsPlusNormal"/>
        <w:jc w:val="center"/>
      </w:pPr>
      <w:r>
        <w:t>от 30.04.2013 N 386, от 26.12.</w:t>
      </w:r>
      <w:r>
        <w:t>2014 N 1512,</w:t>
      </w:r>
    </w:p>
    <w:p w:rsidR="00000000" w:rsidRDefault="00707D06">
      <w:pPr>
        <w:pStyle w:val="ConsPlusNormal"/>
        <w:jc w:val="center"/>
      </w:pPr>
      <w:r>
        <w:t>от 25.05.2016 N 464)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707D06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начинающих фермеров.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jc w:val="right"/>
      </w:pPr>
      <w:r>
        <w:t>Председатель Правительства</w:t>
      </w:r>
    </w:p>
    <w:p w:rsidR="00000000" w:rsidRDefault="00707D06">
      <w:pPr>
        <w:pStyle w:val="ConsPlusNormal"/>
        <w:jc w:val="right"/>
      </w:pPr>
      <w:r>
        <w:t>Российской Федерации</w:t>
      </w:r>
    </w:p>
    <w:p w:rsidR="00000000" w:rsidRDefault="00707D06">
      <w:pPr>
        <w:pStyle w:val="ConsPlusNormal"/>
        <w:jc w:val="right"/>
      </w:pPr>
      <w:r>
        <w:t>В.ПУТИН</w:t>
      </w:r>
    </w:p>
    <w:p w:rsidR="00000000" w:rsidRDefault="00707D06">
      <w:pPr>
        <w:pStyle w:val="ConsPlusNormal"/>
        <w:jc w:val="right"/>
      </w:pPr>
    </w:p>
    <w:p w:rsidR="00000000" w:rsidRDefault="00707D06">
      <w:pPr>
        <w:pStyle w:val="ConsPlusNormal"/>
        <w:jc w:val="right"/>
      </w:pPr>
    </w:p>
    <w:p w:rsidR="00000000" w:rsidRDefault="00707D06">
      <w:pPr>
        <w:pStyle w:val="ConsPlusNormal"/>
        <w:jc w:val="right"/>
      </w:pPr>
    </w:p>
    <w:p w:rsidR="00000000" w:rsidRDefault="00707D06">
      <w:pPr>
        <w:pStyle w:val="ConsPlusNormal"/>
        <w:jc w:val="right"/>
      </w:pPr>
    </w:p>
    <w:p w:rsidR="00000000" w:rsidRDefault="00707D06">
      <w:pPr>
        <w:pStyle w:val="ConsPlusNormal"/>
        <w:jc w:val="right"/>
      </w:pPr>
    </w:p>
    <w:p w:rsidR="00000000" w:rsidRDefault="00707D06">
      <w:pPr>
        <w:pStyle w:val="ConsPlusNormal"/>
        <w:jc w:val="right"/>
        <w:outlineLvl w:val="0"/>
      </w:pPr>
      <w:r>
        <w:t>Утверждены</w:t>
      </w:r>
    </w:p>
    <w:p w:rsidR="00000000" w:rsidRDefault="00707D06">
      <w:pPr>
        <w:pStyle w:val="ConsPlusNormal"/>
        <w:jc w:val="right"/>
      </w:pPr>
      <w:r>
        <w:t>постановлением Правительства</w:t>
      </w:r>
    </w:p>
    <w:p w:rsidR="00000000" w:rsidRDefault="00707D06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707D06">
      <w:pPr>
        <w:pStyle w:val="ConsPlusNormal"/>
        <w:jc w:val="right"/>
      </w:pPr>
      <w:r>
        <w:t>от 28 февраля 2012 г. N 166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Title"/>
        <w:jc w:val="center"/>
      </w:pPr>
      <w:bookmarkStart w:id="0" w:name="Par31"/>
      <w:bookmarkEnd w:id="0"/>
      <w:r>
        <w:t>П</w:t>
      </w:r>
      <w:r>
        <w:t>РАВИЛА</w:t>
      </w:r>
    </w:p>
    <w:p w:rsidR="00000000" w:rsidRDefault="00707D06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707D06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707D06">
      <w:pPr>
        <w:pStyle w:val="ConsPlusTitle"/>
        <w:jc w:val="center"/>
      </w:pPr>
      <w:r>
        <w:t>НА ПОДДЕРЖКУ НАЧИНАЮЩИХ ФЕРМЕРОВ</w:t>
      </w:r>
    </w:p>
    <w:p w:rsidR="00000000" w:rsidRDefault="00707D06">
      <w:pPr>
        <w:pStyle w:val="ConsPlusNormal"/>
        <w:jc w:val="center"/>
      </w:pPr>
      <w:r>
        <w:t>Список изменяющих документов</w:t>
      </w:r>
    </w:p>
    <w:p w:rsidR="00000000" w:rsidRDefault="00707D06">
      <w:pPr>
        <w:pStyle w:val="ConsPlusNormal"/>
        <w:jc w:val="center"/>
      </w:pPr>
      <w:r>
        <w:t>(в ред. Постановлений Правительства Р</w:t>
      </w:r>
      <w:r>
        <w:t>Ф от 26.12.2014 N 1512,</w:t>
      </w:r>
    </w:p>
    <w:p w:rsidR="00000000" w:rsidRDefault="00707D06">
      <w:pPr>
        <w:pStyle w:val="ConsPlusNormal"/>
        <w:jc w:val="center"/>
      </w:pPr>
      <w:r>
        <w:t>от 25.05.2016 N 464)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</w:t>
      </w:r>
      <w:r>
        <w:t>расходных обязательств субъекта Российской Федерации, возникающих при выполнении мероприятий по предоставлению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фермерам, в рамка</w:t>
      </w:r>
      <w:r>
        <w:t>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</w:t>
      </w:r>
      <w: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соответственно - Программа, мероприятия, субсидии).</w:t>
      </w:r>
    </w:p>
    <w:p w:rsidR="00000000" w:rsidRDefault="00707D06">
      <w:pPr>
        <w:pStyle w:val="ConsPlusNormal"/>
        <w:ind w:firstLine="540"/>
        <w:jc w:val="both"/>
      </w:pPr>
      <w:r>
        <w:t>2. Понятия, используемые в настоящих Прав</w:t>
      </w:r>
      <w:r>
        <w:t>илах, означают следующее:</w:t>
      </w:r>
    </w:p>
    <w:p w:rsidR="00000000" w:rsidRDefault="00707D06">
      <w:pPr>
        <w:pStyle w:val="ConsPlusNormal"/>
        <w:ind w:firstLine="540"/>
        <w:jc w:val="both"/>
      </w:pPr>
      <w:r>
        <w:t>а) "начинающий фермер" - участник региональной программы поддержки начинающих фермеров, которая прошла отбор в соответствии с порядком, установленным Министерством сельского хозяйства Российской Федерации;</w:t>
      </w:r>
    </w:p>
    <w:p w:rsidR="00000000" w:rsidRDefault="00707D06">
      <w:pPr>
        <w:pStyle w:val="ConsPlusNormal"/>
        <w:ind w:firstLine="540"/>
        <w:jc w:val="both"/>
      </w:pPr>
      <w:r>
        <w:t xml:space="preserve">б) "заявитель" - гражданин Российской Федерации, подающий заявку в конкурсную комиссию для признания его участником региональной программы поддержки начинающих фермеров и соответствующий условиям, установленным Министерством сельского хозяйства Российской </w:t>
      </w:r>
      <w:r>
        <w:t>Федерации;</w:t>
      </w:r>
    </w:p>
    <w:p w:rsidR="00000000" w:rsidRDefault="00707D06">
      <w:pPr>
        <w:pStyle w:val="ConsPlusNormal"/>
        <w:ind w:firstLine="540"/>
        <w:jc w:val="both"/>
      </w:pPr>
      <w:r>
        <w:t>в) "грант на создание и развитие крестьянского (фермерского) хозяйства" - средства, передаваемые из бюджета субъекта Российской Федерации или местного бюджета на счет начинающего фермера, открытый в кредитной организации, для софинансирования ег</w:t>
      </w:r>
      <w:r>
        <w:t>о затрат, не возмещаемых в рамках иных направлений государственной поддержки в соответствии с Программой;</w:t>
      </w:r>
    </w:p>
    <w:p w:rsidR="00000000" w:rsidRDefault="00707D06">
      <w:pPr>
        <w:pStyle w:val="ConsPlusNormal"/>
        <w:ind w:firstLine="540"/>
        <w:jc w:val="both"/>
      </w:pPr>
      <w:bookmarkStart w:id="1" w:name="Par44"/>
      <w:bookmarkEnd w:id="1"/>
      <w:r>
        <w:t>г) "единовременная помощь на бытовое обустройство" - средства, перечисляемые из бюджета субъекта Российской Федерации или местного бюджета н</w:t>
      </w:r>
      <w:r>
        <w:t>а счет начинающего фермера, открытый в кредитной организации, для софинансирования затрат начинающего фермера в целях:</w:t>
      </w:r>
    </w:p>
    <w:p w:rsidR="00000000" w:rsidRDefault="00707D06">
      <w:pPr>
        <w:pStyle w:val="ConsPlusNormal"/>
        <w:ind w:firstLine="540"/>
        <w:jc w:val="both"/>
      </w:pPr>
      <w:r>
        <w:t>приобретения, строительства и ремонта собственного жилья, в том числе погашения основной суммы и процентов по банковским кредитам (ипотек</w:t>
      </w:r>
      <w:r>
        <w:t>е), привлеченным для его приобретения;</w:t>
      </w:r>
    </w:p>
    <w:p w:rsidR="00000000" w:rsidRDefault="00707D06">
      <w:pPr>
        <w:pStyle w:val="ConsPlusNormal"/>
        <w:ind w:firstLine="540"/>
        <w:jc w:val="both"/>
      </w:pPr>
      <w:r>
        <w:t>приобретения одного грузо-пассажирского автомобиля;</w:t>
      </w:r>
    </w:p>
    <w:p w:rsidR="00000000" w:rsidRDefault="00707D06">
      <w:pPr>
        <w:pStyle w:val="ConsPlusNormal"/>
        <w:ind w:firstLine="540"/>
        <w:jc w:val="both"/>
      </w:pPr>
      <w:r>
        <w:t xml:space="preserve">приобретения и доставки предметов домашней мебели, бытовой техники, компьютеров, средств </w:t>
      </w:r>
      <w:r>
        <w:lastRenderedPageBreak/>
        <w:t>связи, электрических и газовых плит, инженерного оборудования, установок для</w:t>
      </w:r>
      <w:r>
        <w:t xml:space="preserve"> фильтрации воды, бытовых водо-, тепло- и газоустановок, септиков, устройств для водоподачи и водоотведения;</w:t>
      </w:r>
    </w:p>
    <w:p w:rsidR="00000000" w:rsidRDefault="00707D06">
      <w:pPr>
        <w:pStyle w:val="ConsPlusNormal"/>
        <w:ind w:firstLine="540"/>
        <w:jc w:val="both"/>
      </w:pPr>
      <w:r>
        <w:t>подключения жилья к газовым, тепловым и электрическим сетям, сетям связи, интернету, водопроводу и канализации.</w:t>
      </w:r>
    </w:p>
    <w:p w:rsidR="00000000" w:rsidRDefault="00707D06">
      <w:pPr>
        <w:pStyle w:val="ConsPlusNormal"/>
        <w:ind w:firstLine="540"/>
        <w:jc w:val="both"/>
      </w:pPr>
      <w:bookmarkStart w:id="2" w:name="Par49"/>
      <w:bookmarkEnd w:id="2"/>
      <w:r>
        <w:t>3. Гранты на создание и р</w:t>
      </w:r>
      <w:r>
        <w:t>азвитие крестьянского (фермерского) хозяйства выделяются в целях создания и развития на территориях сельских поселений и межселенных территориях субъекта Российской Федерации крестьянского (фермерского) хозяйства, включая:</w:t>
      </w:r>
    </w:p>
    <w:p w:rsidR="00000000" w:rsidRDefault="00707D06">
      <w:pPr>
        <w:pStyle w:val="ConsPlusNormal"/>
        <w:ind w:firstLine="540"/>
        <w:jc w:val="both"/>
      </w:pPr>
      <w:r>
        <w:t>приобретение земельных участков и</w:t>
      </w:r>
      <w:r>
        <w:t>з земель сельскохозяйственного назначения;</w:t>
      </w:r>
    </w:p>
    <w:p w:rsidR="00000000" w:rsidRDefault="00707D06">
      <w:pPr>
        <w:pStyle w:val="ConsPlusNormal"/>
        <w:ind w:firstLine="540"/>
        <w:jc w:val="both"/>
      </w:pP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000000" w:rsidRDefault="00707D06">
      <w:pPr>
        <w:pStyle w:val="ConsPlusNormal"/>
        <w:ind w:firstLine="540"/>
        <w:jc w:val="both"/>
      </w:pPr>
      <w:r>
        <w:t>приобрет</w:t>
      </w:r>
      <w:r>
        <w:t>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000000" w:rsidRDefault="00707D06">
      <w:pPr>
        <w:pStyle w:val="ConsPlusNormal"/>
        <w:ind w:firstLine="540"/>
        <w:jc w:val="both"/>
      </w:pPr>
      <w: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000000" w:rsidRDefault="00707D06">
      <w:pPr>
        <w:pStyle w:val="ConsPlusNormal"/>
        <w:ind w:firstLine="540"/>
        <w:jc w:val="both"/>
      </w:pPr>
      <w:r>
        <w:t>подключение производственных и складских зданий, помещений, пристроек и сооружений, необходимых д</w:t>
      </w:r>
      <w:r>
        <w:t>ля производства, хранения и переработки сельскохозяйственной продукции, к инженерным сетям электро-, водо-, газо- и теплоснабжения, дорожной инфраструктуре;</w:t>
      </w:r>
    </w:p>
    <w:p w:rsidR="00000000" w:rsidRDefault="00707D06">
      <w:pPr>
        <w:pStyle w:val="ConsPlusNormal"/>
        <w:ind w:firstLine="540"/>
        <w:jc w:val="both"/>
      </w:pPr>
      <w:r>
        <w:t>приобретение сельскохозяйственных животных;</w:t>
      </w:r>
    </w:p>
    <w:p w:rsidR="00000000" w:rsidRDefault="00707D06">
      <w:pPr>
        <w:pStyle w:val="ConsPlusNormal"/>
        <w:ind w:firstLine="540"/>
        <w:jc w:val="both"/>
      </w:pPr>
      <w:r>
        <w:t xml:space="preserve">приобретение сельскохозяйственной техники и инвентаря, </w:t>
      </w:r>
      <w:r>
        <w:t>грузового автомобильного транспорта, оборудования для производства и переработки сельскохозяйственной продукции;</w:t>
      </w:r>
    </w:p>
    <w:p w:rsidR="00000000" w:rsidRDefault="00707D06">
      <w:pPr>
        <w:pStyle w:val="ConsPlusNormal"/>
        <w:ind w:firstLine="540"/>
        <w:jc w:val="both"/>
      </w:pPr>
      <w:r>
        <w:t>приобретение семян и посадочного материала для закладки многолетних насаждений;</w:t>
      </w:r>
    </w:p>
    <w:p w:rsidR="00000000" w:rsidRDefault="00707D06">
      <w:pPr>
        <w:pStyle w:val="ConsPlusNormal"/>
        <w:ind w:firstLine="540"/>
        <w:jc w:val="both"/>
      </w:pPr>
      <w:r>
        <w:t>приобретение удобрений и ядохимикатов.</w:t>
      </w:r>
    </w:p>
    <w:p w:rsidR="00000000" w:rsidRDefault="00707D06">
      <w:pPr>
        <w:pStyle w:val="ConsPlusNormal"/>
        <w:ind w:firstLine="540"/>
        <w:jc w:val="both"/>
      </w:pPr>
      <w:r>
        <w:t>4. Максимальный размер г</w:t>
      </w:r>
      <w:r>
        <w:t>ранта на создание и развитие крестьянского (фермерского) хозяйства в расчете на одного начинающего фермера определяется субъектом Российской Федерации в размере, не превышающем 1,5 млн. рублей. В случае если субъект Российской Федерации утверждает максимал</w:t>
      </w:r>
      <w:r>
        <w:t>ьный размер гранта на создание и развитие крестьянского (фермерского) хозяйства в размере, превышающем 1,5 млн. рублей, то финансовое обеспечение выплаты гранта в сумме, превышающей указанный размер, осуществляется за счет средств бюджета субъекта Российск</w:t>
      </w:r>
      <w:r>
        <w:t>ой Федерации.</w:t>
      </w:r>
    </w:p>
    <w:p w:rsidR="00000000" w:rsidRDefault="00707D06">
      <w:pPr>
        <w:pStyle w:val="ConsPlusNormal"/>
        <w:ind w:firstLine="540"/>
        <w:jc w:val="both"/>
      </w:pPr>
      <w:r>
        <w:t>Размер гранта на создание крестьянского (фермерского) хозяйства, предоставляемого конкретному начинающему фермеру, определяется конкурсной комиссией, создаваемой субъектом Российской Федерации, с учетом собственных средств начинающего фермера</w:t>
      </w:r>
      <w:r>
        <w:t xml:space="preserve"> и его плана расходов в целях, указанных в </w:t>
      </w:r>
      <w:hyperlink w:anchor="Par49" w:tooltip="3. Гранты на создание и развитие крестьянского (фермерского) хозяйства выделяются в целях создания и развития на территориях сельских поселений и межселенных территориях субъекта Российской Федерации крестьянского (фермерского) хозяйства, включая: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00000" w:rsidRDefault="00707D06">
      <w:pPr>
        <w:pStyle w:val="ConsPlusNormal"/>
        <w:ind w:firstLine="540"/>
        <w:jc w:val="both"/>
      </w:pPr>
      <w:r>
        <w:t>В случае использования начинающими фермерами полученного гранта на создание крестьянского (фермерского) хозяйства на цели, не предусмотренные настоящими Правилами, средства, составляющие сумму гранта, подлежат возврату в соответствующий бюджет в соответств</w:t>
      </w:r>
      <w:r>
        <w:t>ии с законодательством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t>5. Максимальный размер единовременной помощи в расчете на одного начинающего фермера определяется субъектом Российской Федерации в размере, не превышающем 250 тыс. рублей. В случае если субъект Российской Федера</w:t>
      </w:r>
      <w:r>
        <w:t>ции утверждает максимальный размер единовременной помощи в размере, превышающем 250 тыс. рублей, то финансовое обеспечение единовременной помощи на бытовое обустройство в размере, превышающем указанный размер, осуществляется за счет средств бюджета субъект</w:t>
      </w:r>
      <w:r>
        <w:t>а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t>Размер единовременной помощи на бытовое обустройство, предоставляемой конкретному начинающему фермеру, определяется конкурсной комиссией субъекта Российской Федерации с учетом местных социально-бытовых условий, собственных средств н</w:t>
      </w:r>
      <w:r>
        <w:t xml:space="preserve">ачинающего фермера и плана расходов в целях, указанных в </w:t>
      </w:r>
      <w:hyperlink w:anchor="Par44" w:tooltip="г) &quot;единовременная помощь на бытовое обустройство&quot; - средства, перечисляемые из бюджета субъекта Российской Федерации или местного бюджета на счет начинающего фермера, открытый в кредитной организации, для софинансирования затрат начинающего фермера в целях:" w:history="1">
        <w:r>
          <w:rPr>
            <w:color w:val="0000FF"/>
          </w:rPr>
          <w:t>подпункте "г" пункта 2</w:t>
        </w:r>
      </w:hyperlink>
      <w:r>
        <w:t xml:space="preserve"> настоящих Правил.</w:t>
      </w:r>
    </w:p>
    <w:p w:rsidR="00000000" w:rsidRDefault="00707D06">
      <w:pPr>
        <w:pStyle w:val="ConsPlusNormal"/>
        <w:ind w:firstLine="540"/>
        <w:jc w:val="both"/>
      </w:pPr>
      <w:bookmarkStart w:id="3" w:name="Par64"/>
      <w:bookmarkEnd w:id="3"/>
      <w:r>
        <w:t>6. Субсидии предоставляются на следующих условиях:</w:t>
      </w:r>
    </w:p>
    <w:p w:rsidR="00000000" w:rsidRDefault="00707D06">
      <w:pPr>
        <w:pStyle w:val="ConsPlusNormal"/>
        <w:ind w:firstLine="540"/>
        <w:jc w:val="both"/>
      </w:pPr>
      <w:r>
        <w:t>а) наличие утвержденных государственных и (или) ведомственных цел</w:t>
      </w:r>
      <w:r>
        <w:t>евых программ субъектов Российской Федерации и (или) муниципальных программ, предусматривающих мероприятия (далее - программы субъектов Российской Федерации), и расходных обязательств по финансовому обеспечению программ субъектов Российской Федерации;</w:t>
      </w:r>
    </w:p>
    <w:p w:rsidR="00000000" w:rsidRDefault="00707D06">
      <w:pPr>
        <w:pStyle w:val="ConsPlusNormal"/>
        <w:ind w:firstLine="540"/>
        <w:jc w:val="both"/>
      </w:pPr>
      <w:r>
        <w:t>б) н</w:t>
      </w:r>
      <w:r>
        <w:t>аличие нормативного правового акта субъекта Российской Федерации, предусматривающего порядок предоставления крестьянским (фермерским) хозяйствам из бюджета субъекта Российской Федерации средств на поддержку начинающих фермеров и определяющего перечень доку</w:t>
      </w:r>
      <w:r>
        <w:t>ментов, необходимых для получения указанных средств, источником финансового обеспечения которых является субсидия, а также сроки рассмотрения этих документов, не превышающие 15 рабочих дней;</w:t>
      </w:r>
    </w:p>
    <w:p w:rsidR="00000000" w:rsidRDefault="00707D06">
      <w:pPr>
        <w:pStyle w:val="ConsPlusNormal"/>
        <w:ind w:firstLine="540"/>
        <w:jc w:val="both"/>
      </w:pPr>
      <w:r>
        <w:t>в) представление в Министерство сельского хозяйства Российской Фе</w:t>
      </w:r>
      <w:r>
        <w:t>дерации выписок из закона субъекта Российской Федерации о бюджете субъекта Российской Федерации на очередной финансовый год (на очередной финансовый год и плановый период) и (или) решений органов местного самоуправления о местных бюджетах, подтверждающих н</w:t>
      </w:r>
      <w:r>
        <w:t xml:space="preserve">аличие бюджетных ассигнований на финансовое обеспечение мероприятий не менее размера, необходимого для обеспечения установленного в соответствии с </w:t>
      </w:r>
      <w:hyperlink w:anchor="Par84" w:tooltip="10. Министерство сельского хозяйства Российской Федерации заключает с высшим исполнительным органом государственной власти субъекта Российской Федерации соглашение о предоставлении субсидии (далее - соглашение) по утверждаемой Министерством форме." w:history="1">
        <w:r>
          <w:rPr>
            <w:color w:val="0000FF"/>
          </w:rPr>
          <w:t>пунктом 10</w:t>
        </w:r>
      </w:hyperlink>
      <w:r>
        <w:t xml:space="preserve"> настоящих Правил уровня софинансирования.</w:t>
      </w:r>
    </w:p>
    <w:p w:rsidR="00000000" w:rsidRDefault="00707D06">
      <w:pPr>
        <w:pStyle w:val="ConsPlusNormal"/>
        <w:ind w:firstLine="540"/>
        <w:jc w:val="both"/>
      </w:pPr>
      <w:bookmarkStart w:id="4" w:name="Par68"/>
      <w:bookmarkEnd w:id="4"/>
      <w:r>
        <w:t>7. Размер субсидии, предост</w:t>
      </w:r>
      <w:r>
        <w:t>авляемой бюджету i-го субъекта Российской Федерации (</w:t>
      </w:r>
      <w:r w:rsidR="005A1738">
        <w:rPr>
          <w:noProof/>
          <w:position w:val="-12"/>
        </w:rPr>
        <w:drawing>
          <wp:inline distT="0" distB="0" distL="0" distR="0">
            <wp:extent cx="170180" cy="2235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r>
        <w:lastRenderedPageBreak/>
        <w:t>определяется по формуле:</w:t>
      </w:r>
    </w:p>
    <w:p w:rsidR="00000000" w:rsidRDefault="00707D06">
      <w:pPr>
        <w:pStyle w:val="ConsPlusNormal"/>
        <w:ind w:firstLine="540"/>
        <w:jc w:val="both"/>
      </w:pPr>
    </w:p>
    <w:p w:rsidR="00000000" w:rsidRDefault="005A1738">
      <w:pPr>
        <w:pStyle w:val="ConsPlusNormal"/>
        <w:jc w:val="center"/>
      </w:pPr>
      <w:r>
        <w:rPr>
          <w:noProof/>
          <w:position w:val="-60"/>
        </w:rPr>
        <w:drawing>
          <wp:inline distT="0" distB="0" distL="0" distR="0">
            <wp:extent cx="1424940" cy="61658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>,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  <w:r>
        <w:t>где:</w:t>
      </w:r>
    </w:p>
    <w:p w:rsidR="00000000" w:rsidRDefault="00707D06">
      <w:pPr>
        <w:pStyle w:val="ConsPlusNormal"/>
        <w:ind w:firstLine="540"/>
        <w:jc w:val="both"/>
      </w:pPr>
      <w:r>
        <w:t>С - размер субсидий, предусмотренных в федеральном бюджете на соответствующий финансовый год и плановый период;</w:t>
      </w:r>
    </w:p>
    <w:p w:rsidR="00000000" w:rsidRDefault="005A173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1135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 xml:space="preserve"> - показатель, характеризующий удельный вес количества крестьянск</w:t>
      </w:r>
      <w:r w:rsidR="00707D06">
        <w:t>их (фермерских) хозяйств и индивидуальных предпринимателей - глав крестьянских (фермерских) хозяйств, определяемый на основании данных Федеральной службы государственной статистики по состоянию на 1 октября отчетного финансового года в i-м субъекте Российс</w:t>
      </w:r>
      <w:r w:rsidR="00707D06">
        <w:t>кой Федерации;</w:t>
      </w:r>
    </w:p>
    <w:p w:rsidR="00000000" w:rsidRDefault="005A173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315" cy="23368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 xml:space="preserve"> - уровень расчетной бюджетной обеспеченности i-го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</w:t>
      </w:r>
      <w:r w:rsidR="00707D06">
        <w:t>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000000" w:rsidRDefault="00707D06">
      <w:pPr>
        <w:pStyle w:val="ConsPlusNormal"/>
        <w:ind w:firstLine="540"/>
        <w:jc w:val="both"/>
      </w:pPr>
      <w:r>
        <w:t>n - количество субъек</w:t>
      </w:r>
      <w:r>
        <w:t xml:space="preserve">тов Российской Федерации, соблюдающих условия, предусмотренные </w:t>
      </w:r>
      <w:hyperlink w:anchor="Par64" w:tooltip="6. Субсидии предоставляются на следующих условиях: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000000" w:rsidRDefault="00707D06">
      <w:pPr>
        <w:pStyle w:val="ConsPlusNormal"/>
        <w:ind w:firstLine="540"/>
        <w:jc w:val="both"/>
      </w:pPr>
      <w:r>
        <w:t>8. Показатель, характеризующий удельный вес количества крестьянских (фермерских) хозяйс</w:t>
      </w:r>
      <w:r>
        <w:t>тв и индивидуальных предпринимателей - глав крестьянских (фермерских) хозяйств (</w:t>
      </w:r>
      <w:r w:rsidR="005A1738">
        <w:rPr>
          <w:noProof/>
          <w:position w:val="-12"/>
        </w:rPr>
        <w:drawing>
          <wp:inline distT="0" distB="0" distL="0" distR="0">
            <wp:extent cx="191135" cy="2336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определяется на основании данных Федеральной службы государственной статистики по состоянию на 1 октября отчетного финансового года в i-м </w:t>
      </w:r>
      <w:r>
        <w:t>субъекте Российской Федерации по формуле:</w:t>
      </w:r>
    </w:p>
    <w:p w:rsidR="00000000" w:rsidRDefault="00707D06">
      <w:pPr>
        <w:pStyle w:val="ConsPlusNormal"/>
        <w:ind w:firstLine="540"/>
        <w:jc w:val="both"/>
      </w:pPr>
    </w:p>
    <w:p w:rsidR="00000000" w:rsidRDefault="005A173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850900" cy="4146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>,</w:t>
      </w:r>
    </w:p>
    <w:p w:rsidR="00000000" w:rsidRDefault="00707D06">
      <w:pPr>
        <w:pStyle w:val="ConsPlusNormal"/>
        <w:jc w:val="center"/>
      </w:pPr>
    </w:p>
    <w:p w:rsidR="00000000" w:rsidRDefault="00707D06">
      <w:pPr>
        <w:pStyle w:val="ConsPlusNormal"/>
        <w:ind w:firstLine="540"/>
        <w:jc w:val="both"/>
      </w:pPr>
      <w:r>
        <w:t>где:</w:t>
      </w:r>
    </w:p>
    <w:p w:rsidR="00000000" w:rsidRDefault="005A173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0180" cy="23368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 xml:space="preserve"> - количество крестьянских (фермерских) хозяйств и индивидуальных предпринимателей - глав крестьянских (фермерских) хозяйств, определ</w:t>
      </w:r>
      <w:r w:rsidR="00707D06">
        <w:t>яемое на основании данных Федеральной службы государственной статистики по состоянию на 1 октября отчетного финансового года в i-м субъекте Российской Федерации. В отношении указанных данных по субъектам Российской Федерации, входящим в состав Дальневосточ</w:t>
      </w:r>
      <w:r w:rsidR="00707D06">
        <w:t xml:space="preserve">ного и Крымского федеральных округов, к </w:t>
      </w:r>
      <w:r>
        <w:rPr>
          <w:noProof/>
          <w:position w:val="-12"/>
        </w:rPr>
        <w:drawing>
          <wp:inline distT="0" distB="0" distL="0" distR="0">
            <wp:extent cx="170180" cy="23368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 xml:space="preserve"> применяется коэффициент 2 в числителе и знаменателе формулы расчета показателя </w:t>
      </w:r>
      <w:r>
        <w:rPr>
          <w:noProof/>
          <w:position w:val="-12"/>
        </w:rPr>
        <w:drawing>
          <wp:inline distT="0" distB="0" distL="0" distR="0">
            <wp:extent cx="191135" cy="233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>.</w:t>
      </w:r>
    </w:p>
    <w:p w:rsidR="00000000" w:rsidRDefault="00707D06">
      <w:pPr>
        <w:pStyle w:val="ConsPlusNormal"/>
        <w:ind w:firstLine="540"/>
        <w:jc w:val="both"/>
      </w:pPr>
      <w:r>
        <w:t xml:space="preserve">9. При определении размера субсидии в соответствии с </w:t>
      </w:r>
      <w:hyperlink w:anchor="Par68" w:tooltip="7. Размер субсидии, предоставляемой бюджету i-го субъекта Российской Федерации (_), определяется по формуле:" w:history="1">
        <w:r>
          <w:rPr>
            <w:color w:val="0000FF"/>
          </w:rPr>
          <w:t>пунктом 7</w:t>
        </w:r>
      </w:hyperlink>
      <w:r>
        <w:t xml:space="preserve"> настоящих Правил учитывается также размер бюджетных ассигнований, предусмотренных в бюджете субъекта Российской Федераци</w:t>
      </w:r>
      <w:r>
        <w:t>и на финансирование расходного обязательства субъекта Российской Федерации, софинансируемого за счет субсидии, подтвержденный выпиской из бюджета субъекта Российской Федерации.</w:t>
      </w:r>
    </w:p>
    <w:p w:rsidR="00000000" w:rsidRDefault="00707D06">
      <w:pPr>
        <w:pStyle w:val="ConsPlusNormal"/>
        <w:ind w:firstLine="540"/>
        <w:jc w:val="both"/>
      </w:pPr>
      <w:bookmarkStart w:id="5" w:name="Par84"/>
      <w:bookmarkEnd w:id="5"/>
      <w:r>
        <w:t>10. Министерство сельского хозяйства Российской Федерации заключает с</w:t>
      </w:r>
      <w:r>
        <w:t xml:space="preserve"> высшим исполнительным органом государственной власти субъекта Российской Федерации соглашение о предоставлении субсидии (далее - соглашение) по утверждаемой Министерством форме.</w:t>
      </w:r>
    </w:p>
    <w:p w:rsidR="00000000" w:rsidRDefault="00707D06">
      <w:pPr>
        <w:pStyle w:val="ConsPlusNormal"/>
        <w:ind w:firstLine="540"/>
        <w:jc w:val="both"/>
      </w:pPr>
      <w:r>
        <w:t>Размер бюджетных ассигнований бюджета субъекта Российской Федерации на финанс</w:t>
      </w:r>
      <w:r>
        <w:t>ирование расходного обязательства субъекта Российской Федерации, софинансируемого за счет субсидии,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</w:t>
      </w:r>
      <w:r>
        <w:t>ений показателей результативности использования субсидии, но не менее чем в размере, необходимом для обеспечения установленного для субъекта Российской Федерации уровня софинансирования из федерального бюджета.</w:t>
      </w:r>
    </w:p>
    <w:p w:rsidR="00000000" w:rsidRDefault="00707D06">
      <w:pPr>
        <w:pStyle w:val="ConsPlusNormal"/>
        <w:ind w:firstLine="540"/>
        <w:jc w:val="both"/>
      </w:pPr>
      <w:r>
        <w:t>11. Распределение субсидий бюджетам субъектов</w:t>
      </w:r>
      <w:r>
        <w:t xml:space="preserve"> Российской Федерации устанавливается федеральным законом о федеральном бюджете на соответствующий финансовый год и плановый период и (или) принятым в соответствии с ним актом Правительства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t>12. Уровень софинансирования расходного обяз</w:t>
      </w:r>
      <w:r>
        <w:t>ательства субъекта Российской Федерации за счет субсидии (</w:t>
      </w:r>
      <w:r w:rsidR="005A1738">
        <w:rPr>
          <w:noProof/>
          <w:position w:val="-12"/>
        </w:rPr>
        <w:drawing>
          <wp:inline distT="0" distB="0" distL="0" distR="0">
            <wp:extent cx="191135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707D06">
      <w:pPr>
        <w:pStyle w:val="ConsPlusNormal"/>
        <w:ind w:firstLine="540"/>
        <w:jc w:val="both"/>
      </w:pPr>
    </w:p>
    <w:p w:rsidR="00000000" w:rsidRDefault="005A173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25195" cy="233680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>,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  <w:r>
        <w:t>где:</w:t>
      </w:r>
    </w:p>
    <w:p w:rsidR="00000000" w:rsidRDefault="00707D06">
      <w:pPr>
        <w:pStyle w:val="ConsPlusNormal"/>
        <w:ind w:firstLine="540"/>
        <w:jc w:val="both"/>
      </w:pPr>
      <w:r>
        <w:t>0,7 - средний уровень софинансирования расходных обязательств субъектов Российской Федераци</w:t>
      </w:r>
      <w:r>
        <w:t>и.</w:t>
      </w:r>
    </w:p>
    <w:p w:rsidR="00000000" w:rsidRDefault="00707D06">
      <w:pPr>
        <w:pStyle w:val="ConsPlusNormal"/>
        <w:ind w:firstLine="540"/>
        <w:jc w:val="both"/>
      </w:pPr>
      <w:r>
        <w:t xml:space="preserve">Уровень софинансирования расходного обязательства субъекта Российской Федерации не может </w:t>
      </w:r>
      <w:r>
        <w:lastRenderedPageBreak/>
        <w:t>установлен быть ниже 70 процентов и выше 95 процентов расходного обязательства.</w:t>
      </w:r>
    </w:p>
    <w:p w:rsidR="00000000" w:rsidRDefault="00707D06">
      <w:pPr>
        <w:pStyle w:val="ConsPlusNormal"/>
        <w:ind w:firstLine="540"/>
        <w:jc w:val="both"/>
      </w:pPr>
      <w:r>
        <w:t>Уровень софинансирования по субъектам Российской Федерации утверждается Министерство</w:t>
      </w:r>
      <w:r>
        <w:t>м сельского хозяйства Российской Федерации на соответствующий финансовый год.</w:t>
      </w:r>
    </w:p>
    <w:p w:rsidR="00000000" w:rsidRDefault="00707D06">
      <w:pPr>
        <w:pStyle w:val="ConsPlusNormal"/>
        <w:ind w:firstLine="540"/>
        <w:jc w:val="both"/>
      </w:pPr>
      <w:r>
        <w:t>13. Предоставление субсидий осуществляется на основании соглашения. Форма соглашения утверждается Министерством сельского хозяйства Российской Федерации в соответствии с положени</w:t>
      </w:r>
      <w:r>
        <w:t>ями, определенными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000000" w:rsidRDefault="00707D06">
      <w:pPr>
        <w:pStyle w:val="ConsPlusNormal"/>
        <w:ind w:firstLine="540"/>
        <w:jc w:val="both"/>
      </w:pPr>
      <w:r>
        <w:t>14. Внесение в соглашение изменений</w:t>
      </w:r>
      <w:r>
        <w:t>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</w:t>
      </w:r>
      <w:r>
        <w:t>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случае существенного (более чем н</w:t>
      </w:r>
      <w:r>
        <w:t>а 20 процентов) сокращения размера субсидии.</w:t>
      </w:r>
    </w:p>
    <w:p w:rsidR="00000000" w:rsidRDefault="00707D06">
      <w:pPr>
        <w:pStyle w:val="ConsPlusNormal"/>
        <w:ind w:firstLine="540"/>
        <w:jc w:val="both"/>
      </w:pPr>
      <w:r>
        <w:t>15. В случае отсутствия на 1 мая текущего финансового года соглашения субсидия, предусмотренная субъекту Российской Федерации, перераспределяется между другими субъектами Российской Федерации и (или) на другие мероприятия Программы.</w:t>
      </w:r>
    </w:p>
    <w:p w:rsidR="00000000" w:rsidRDefault="00707D06">
      <w:pPr>
        <w:pStyle w:val="ConsPlusNormal"/>
        <w:ind w:firstLine="540"/>
        <w:jc w:val="both"/>
      </w:pPr>
      <w:r>
        <w:t>Решения о перераспредел</w:t>
      </w:r>
      <w:r>
        <w:t>ении бюджетных ассигнований федерального бюджета на предоставление субсидии не принимаются в случае, если соответствующие соглашения не были заключены в силу обстоятельств непреодолимой силы.</w:t>
      </w:r>
    </w:p>
    <w:p w:rsidR="00000000" w:rsidRDefault="00707D06">
      <w:pPr>
        <w:pStyle w:val="ConsPlusNormal"/>
        <w:ind w:firstLine="540"/>
        <w:jc w:val="both"/>
      </w:pPr>
      <w:r>
        <w:t>16. В целях определения размера и срока перечисления субсидии ор</w:t>
      </w:r>
      <w:r>
        <w:t>ган, уполномоченный высшим исполнительным органом государственной власти субъекта Российской Федерации, представляет в Министерство сельского хозяйства Российской Федерации заявку на перечисление субсидии по форме и в срок, которые установлены Министерство</w:t>
      </w:r>
      <w:r>
        <w:t>м.</w:t>
      </w:r>
    </w:p>
    <w:p w:rsidR="00000000" w:rsidRDefault="00707D06">
      <w:pPr>
        <w:pStyle w:val="ConsPlusNormal"/>
        <w:ind w:firstLine="540"/>
        <w:jc w:val="both"/>
      </w:pPr>
      <w:r>
        <w:t>17. 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</w:t>
      </w:r>
      <w:r>
        <w:t xml:space="preserve"> плана исполнения федерального бюджета.</w:t>
      </w:r>
    </w:p>
    <w:p w:rsidR="00000000" w:rsidRDefault="00707D06">
      <w:pPr>
        <w:pStyle w:val="ConsPlusNormal"/>
        <w:ind w:firstLine="540"/>
        <w:jc w:val="both"/>
      </w:pPr>
      <w:r>
        <w:t>18. Перечисление субсидий в бюджеты субъектов Российской Федерации осуществляется в установленном порядке в пределах лимитов бюджетных обязательств, предусмотренных Министерству сельского хозяйства Российской Федерац</w:t>
      </w:r>
      <w:r>
        <w:t>ии,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</w:t>
      </w:r>
      <w:r>
        <w:t>едерации на основании заявок.</w:t>
      </w:r>
    </w:p>
    <w:p w:rsidR="00000000" w:rsidRDefault="00707D06">
      <w:pPr>
        <w:pStyle w:val="ConsPlusNormal"/>
        <w:ind w:firstLine="540"/>
        <w:jc w:val="both"/>
      </w:pPr>
      <w:r>
        <w:t>19. 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казначейства, пер</w:t>
      </w:r>
      <w:r>
        <w:t>ечисление субсидий осуществляется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000000" w:rsidRDefault="00707D06">
      <w:pPr>
        <w:pStyle w:val="ConsPlusNormal"/>
        <w:ind w:firstLine="540"/>
        <w:jc w:val="both"/>
      </w:pPr>
      <w:r>
        <w:t>20. Операции</w:t>
      </w:r>
      <w:r>
        <w:t xml:space="preserve"> по кассовым расходам бюджета субъектов Российской Федерации, источником финансового обеспечения которых являются субсидии, осуществляются не позднее 2-го рабочего дня, следующего за днем предоставления получателями средств бюджета субъекта Российской Феде</w:t>
      </w:r>
      <w:r>
        <w:t>рации в территориальный орган Федерального казначейства платежных документов, оформленных в установленном порядке.</w:t>
      </w:r>
    </w:p>
    <w:p w:rsidR="00000000" w:rsidRDefault="00707D06">
      <w:pPr>
        <w:pStyle w:val="ConsPlusNormal"/>
        <w:ind w:firstLine="540"/>
        <w:jc w:val="both"/>
      </w:pPr>
      <w:r>
        <w:t>21. Операции по кассовым расходам бюджетов субъектов Российской Федерации (местных бюджетов), источником финансового обеспечения которых явля</w:t>
      </w:r>
      <w:r>
        <w:t>ются субсидии, в том числе их остатки, не использованные на 1 января текущего финансового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000000" w:rsidRDefault="00707D06">
      <w:pPr>
        <w:pStyle w:val="ConsPlusNormal"/>
        <w:ind w:firstLine="540"/>
        <w:jc w:val="both"/>
      </w:pPr>
      <w:bookmarkStart w:id="6" w:name="Par105"/>
      <w:bookmarkEnd w:id="6"/>
      <w:r>
        <w:t>22. В слу</w:t>
      </w:r>
      <w:r>
        <w:t xml:space="preserve">чае если размер ассигнований, предусмотренных в бюджете субъекта Российской Федерации на финансовое обеспечение мероприятий, не соответствует установленному для субъекта Российской Федерации уровню софинансирования из федерального бюджета, размер субсидии </w:t>
      </w:r>
      <w:r>
        <w:t>подлежит сокращению до соответствующего уровня софинансирования, а высвобождающиеся средства перераспределяются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:rsidR="00000000" w:rsidRDefault="00707D06">
      <w:pPr>
        <w:pStyle w:val="ConsPlusNormal"/>
        <w:ind w:firstLine="540"/>
        <w:jc w:val="both"/>
      </w:pPr>
      <w:bookmarkStart w:id="7" w:name="Par106"/>
      <w:bookmarkEnd w:id="7"/>
      <w:r>
        <w:t>23</w:t>
      </w:r>
      <w:r>
        <w:t>. В случае отсутствия у субъекта Российской Федерации в текущем финансовом году потребности в субсидии неиспользованные субсидии перераспределяются на основании письменного обращения уполномоченного органа между бюджетами других субъектов Российской Федера</w:t>
      </w:r>
      <w:r>
        <w:t>ции, имеющих право на получение субсидии в соответствии с настоящими Правилами.</w:t>
      </w:r>
    </w:p>
    <w:p w:rsidR="00000000" w:rsidRDefault="00707D06">
      <w:pPr>
        <w:pStyle w:val="ConsPlusNormal"/>
        <w:ind w:firstLine="540"/>
        <w:jc w:val="both"/>
      </w:pPr>
      <w:r>
        <w:t xml:space="preserve">24. Остаток субсидий, который образовался в соответствии с </w:t>
      </w:r>
      <w:hyperlink w:anchor="Par105" w:tooltip="22. В случае если размер ассигнований, предусмотренных в бюджете субъекта Российской Федерации на финансовое обеспечение мероприятий, не соответствует установленному для субъекта Российской Федерации уровню софинансирования из федерального бюджета, размер субсидии подлежит сокращению до соответствующего уровня софинансирования, а высвобождающиеся средства перераспределяются между бюджетами других субъектов Российской Федерации, имеющих право на получение субсидии в соответствии с настоящими Правилами.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ar106" w:tooltip="23. В случае отсутствия у субъекта Российской Федерации в текущем финансовом году потребности в субсидии неиспользованные субсидии перераспределяются на основании письменного обращения уполномоченного органа между бюджетами других субъектов Российской Федерации, имеющих право на получение субсидии в соответствии с настоящими Правилами." w:history="1">
        <w:r>
          <w:rPr>
            <w:color w:val="0000FF"/>
          </w:rPr>
          <w:t>23</w:t>
        </w:r>
      </w:hyperlink>
      <w:r>
        <w:t xml:space="preserve"> настоящих Правил, перераспределяется на основании заявок высших исполнительных органов государственной власти субъектов Российской Федерации об увеличении годового объема выделяемых субсидий пропорционально удельному весу д</w:t>
      </w:r>
      <w:r>
        <w:t xml:space="preserve">ополнительной потребности в субсидии субъекта Российской Федерации в общем объеме </w:t>
      </w:r>
      <w:r>
        <w:lastRenderedPageBreak/>
        <w:t>дополнительной потребности в субсидиях субъектов Российской Федерации с учетом фактического освоения средств за отчетный период.</w:t>
      </w:r>
    </w:p>
    <w:p w:rsidR="00000000" w:rsidRDefault="00707D06">
      <w:pPr>
        <w:pStyle w:val="ConsPlusNormal"/>
        <w:ind w:firstLine="540"/>
        <w:jc w:val="both"/>
      </w:pPr>
      <w:r>
        <w:t>25. Оценка эффективности осуществления расход</w:t>
      </w:r>
      <w:r>
        <w:t>ов бюджетов субъектов Российской Федерации, источником финансового обеспечения которых являются субсидии, производится Министерством сельского хозяйства Российской Федерации ежегодно исходя из степени достижения показателя результативности реализации мероп</w:t>
      </w:r>
      <w:r>
        <w:t>риятия, определенного на основании соответствия количества крестьянских (фермерских) хозяйств, осуществивших проекты создания и развития своих хозяйств с помощью государственной поддержки, в субъекте Российской Федерации значению показателя результативност</w:t>
      </w:r>
      <w:r>
        <w:t>и реализации мероприятия, определенному в соглашении.</w:t>
      </w:r>
    </w:p>
    <w:p w:rsidR="00000000" w:rsidRDefault="00707D06">
      <w:pPr>
        <w:pStyle w:val="ConsPlusNormal"/>
        <w:ind w:firstLine="540"/>
        <w:jc w:val="both"/>
      </w:pPr>
      <w:r>
        <w:t>26. Оценка эффективности i-го субъекта Российской Федерации при реализации мероприятия в отчетном финансовом году (</w:t>
      </w:r>
      <w:r w:rsidR="005A1738">
        <w:rPr>
          <w:noProof/>
          <w:position w:val="-12"/>
        </w:rPr>
        <w:drawing>
          <wp:inline distT="0" distB="0" distL="0" distR="0">
            <wp:extent cx="308610" cy="2336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производится:</w:t>
      </w:r>
    </w:p>
    <w:p w:rsidR="00000000" w:rsidRDefault="00707D06">
      <w:pPr>
        <w:pStyle w:val="ConsPlusNormal"/>
        <w:ind w:firstLine="540"/>
        <w:jc w:val="both"/>
      </w:pPr>
      <w:r>
        <w:t>а) в случае если фактическое значен</w:t>
      </w:r>
      <w:r>
        <w:t>ие показателя результативности реализации мероприятия не достигло планируемого значения, установленного соглашением, в отчетном финансовом году, - по формуле:</w:t>
      </w:r>
    </w:p>
    <w:p w:rsidR="00000000" w:rsidRDefault="00707D06">
      <w:pPr>
        <w:pStyle w:val="ConsPlusNormal"/>
        <w:ind w:firstLine="540"/>
        <w:jc w:val="both"/>
      </w:pPr>
    </w:p>
    <w:p w:rsidR="00000000" w:rsidRDefault="005A173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775970" cy="43624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>,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  <w:r>
        <w:t>где:</w:t>
      </w:r>
    </w:p>
    <w:p w:rsidR="00000000" w:rsidRDefault="005A173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2905" cy="244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 xml:space="preserve"> - фактическое значение показателя результативности реализации мероприятия в отчетном финансовом году;</w:t>
      </w:r>
    </w:p>
    <w:p w:rsidR="00000000" w:rsidRDefault="005A173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2905" cy="233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 xml:space="preserve"> - планируемое значение показателя результативности реализации мероприятия, установленное соглашением;</w:t>
      </w:r>
    </w:p>
    <w:p w:rsidR="00000000" w:rsidRDefault="00707D06">
      <w:pPr>
        <w:pStyle w:val="ConsPlusNormal"/>
        <w:ind w:firstLine="540"/>
        <w:jc w:val="both"/>
      </w:pPr>
      <w:r>
        <w:t>б) в случае ес</w:t>
      </w:r>
      <w:r>
        <w:t>ли фактическое значение показателя результативности реализации мероприятия достигло планируемого значения, установленного соглашением, в отчетном финансовом году, - по формуле:</w:t>
      </w:r>
    </w:p>
    <w:p w:rsidR="00000000" w:rsidRDefault="00707D06">
      <w:pPr>
        <w:pStyle w:val="ConsPlusNormal"/>
        <w:ind w:firstLine="540"/>
        <w:jc w:val="both"/>
      </w:pPr>
    </w:p>
    <w:p w:rsidR="00000000" w:rsidRDefault="005A173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457200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D06">
        <w:t>.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  <w:r>
        <w:t>27. Положения, касающиеся порядка возвра</w:t>
      </w:r>
      <w:r>
        <w:t>та средств субъектами Российской Федерации в случае нарушения обязательств, предусмотренных соглашением, в части достижения значений показателей результативности реализации мероприятия, включающие порядок расчета размера средств, подлежащих возврату, сроки</w:t>
      </w:r>
      <w:r>
        <w:t xml:space="preserve"> возврата, основания для освобождения субъектов Российской Федерации от применения мер ответственности за нарушение обязательств, предусмотренных соглашением, а также порядка использования возвращенных средств главным распорядителем средств федерального бю</w:t>
      </w:r>
      <w:r>
        <w:t>джета, применяются в соответствии с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000000" w:rsidRDefault="00707D06">
      <w:pPr>
        <w:pStyle w:val="ConsPlusNormal"/>
        <w:ind w:firstLine="540"/>
        <w:jc w:val="both"/>
      </w:pPr>
      <w:r>
        <w:t>28. Не использован</w:t>
      </w:r>
      <w:r>
        <w:t>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</w:t>
      </w:r>
      <w:r>
        <w:t xml:space="preserve"> источники доходов бюджета субъекта Российской Федерации по возврату остатков субсидий, в соответствии с требованиями, установленными Бюджетным кодексом Российской Федерации и федеральным законом о федеральном бюджете на текущий финансовый год и плановый п</w:t>
      </w:r>
      <w:r>
        <w:t>ериод.</w:t>
      </w:r>
    </w:p>
    <w:p w:rsidR="00000000" w:rsidRDefault="00707D06">
      <w:pPr>
        <w:pStyle w:val="ConsPlusNormal"/>
        <w:ind w:firstLine="540"/>
        <w:jc w:val="both"/>
      </w:pPr>
      <w:r>
        <w:t>В случае если неиспользованный остаток субсидий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t>В соответствии с реш</w:t>
      </w:r>
      <w:r>
        <w:t>ением Министерства сельского хозяйства Российской Федерации о наличии потребности в субсидиях, не использованных на начало финансового года, расходы бюджетов субъектов Российской Федерации, связанные с выполнением мероприятий, могут быть увеличены в устано</w:t>
      </w:r>
      <w:r>
        <w:t>вленном порядке на суммы, не превышающие остатки субсидий.</w:t>
      </w:r>
    </w:p>
    <w:p w:rsidR="00000000" w:rsidRDefault="00707D06">
      <w:pPr>
        <w:pStyle w:val="ConsPlusNormal"/>
        <w:ind w:firstLine="540"/>
        <w:jc w:val="both"/>
      </w:pPr>
      <w:r>
        <w:t>29. В случае несоблюдения высшим исполнительным органом гос</w:t>
      </w:r>
      <w:r>
        <w:t>ударственной власти субъекта Российской Федерации условий предоставления субсидии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</w:t>
      </w:r>
      <w:r>
        <w:t>редоставления субсидии для принятия соответствующего решения в порядке, установленном Министерством финансов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t>Ответственность за достоверность представляемых в Министерство сельского хозяйства Российской Федерации сведений и соблюдение</w:t>
      </w:r>
      <w:r>
        <w:t xml:space="preserve"> условий, установленных соглашением и настоящими Правилами, возлагается на высший исполнительный орган государственной власти субъекта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t>В случае несоблюдения условий, установленных соглашением и настоящими Правилами, соответствующие ср</w:t>
      </w:r>
      <w:r>
        <w:t>едства подлежат взысканию в доход федерального бюджета в соответствии с бюджетным законодательством Российской Федерации.</w:t>
      </w:r>
    </w:p>
    <w:p w:rsidR="00000000" w:rsidRDefault="00707D06">
      <w:pPr>
        <w:pStyle w:val="ConsPlusNormal"/>
        <w:ind w:firstLine="540"/>
        <w:jc w:val="both"/>
      </w:pPr>
      <w:r>
        <w:lastRenderedPageBreak/>
        <w:t xml:space="preserve">30. Контроль за соблюдением высшим исполнительным органом государственной власти субъекта Российской Федерации условий предоставления </w:t>
      </w:r>
      <w:r>
        <w:t>субсидий осуществляется Министерством сельского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00000" w:rsidRDefault="00707D06">
      <w:pPr>
        <w:pStyle w:val="ConsPlusNormal"/>
        <w:jc w:val="both"/>
      </w:pPr>
      <w:r>
        <w:t>(в ред. Постановления Правительства РФ от 25.05.2016 N 464</w:t>
      </w:r>
      <w:r>
        <w:t>)</w:t>
      </w:r>
    </w:p>
    <w:p w:rsidR="00000000" w:rsidRDefault="00707D06">
      <w:pPr>
        <w:pStyle w:val="ConsPlusNormal"/>
        <w:ind w:firstLine="540"/>
        <w:jc w:val="both"/>
      </w:pPr>
    </w:p>
    <w:p w:rsidR="00000000" w:rsidRDefault="00707D06">
      <w:pPr>
        <w:pStyle w:val="ConsPlusNormal"/>
        <w:ind w:firstLine="540"/>
        <w:jc w:val="both"/>
      </w:pPr>
    </w:p>
    <w:p w:rsidR="00707D06" w:rsidRDefault="00707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7D06" w:rsidSect="005A1738">
      <w:headerReference w:type="default" r:id="rId20"/>
      <w:footerReference w:type="default" r:id="rId21"/>
      <w:pgSz w:w="11906" w:h="16838"/>
      <w:pgMar w:top="442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06" w:rsidRDefault="00707D06">
      <w:pPr>
        <w:spacing w:after="0" w:line="240" w:lineRule="auto"/>
      </w:pPr>
      <w:r>
        <w:separator/>
      </w:r>
    </w:p>
  </w:endnote>
  <w:endnote w:type="continuationSeparator" w:id="1">
    <w:p w:rsidR="00707D06" w:rsidRDefault="0070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D06" w:rsidP="005A1738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000000" w:rsidRDefault="00707D0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06" w:rsidRDefault="00707D06">
      <w:pPr>
        <w:spacing w:after="0" w:line="240" w:lineRule="auto"/>
      </w:pPr>
      <w:r>
        <w:separator/>
      </w:r>
    </w:p>
  </w:footnote>
  <w:footnote w:type="continuationSeparator" w:id="1">
    <w:p w:rsidR="00707D06" w:rsidRDefault="0070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Tr="005A1738">
      <w:tblPrEx>
        <w:tblCellMar>
          <w:top w:w="0" w:type="dxa"/>
          <w:bottom w:w="0" w:type="dxa"/>
        </w:tblCellMar>
      </w:tblPrEx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D0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D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D0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07D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7D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27C23"/>
    <w:rsid w:val="005A1738"/>
    <w:rsid w:val="00707D06"/>
    <w:rsid w:val="00D2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17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738"/>
  </w:style>
  <w:style w:type="paragraph" w:styleId="a5">
    <w:name w:val="footer"/>
    <w:basedOn w:val="a"/>
    <w:link w:val="a6"/>
    <w:uiPriority w:val="99"/>
    <w:semiHidden/>
    <w:unhideWhenUsed/>
    <w:rsid w:val="005A17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3067</Words>
  <Characters>21199</Characters>
  <Application>Microsoft Office Word</Application>
  <DocSecurity>2</DocSecurity>
  <Lines>423</Lines>
  <Paragraphs>137</Paragraphs>
  <ScaleCrop>false</ScaleCrop>
  <Company>КонсультантПлюс Версия 4015.00.02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28.02.2012 N 166(ред. от 25.05.2016)"Об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</dc:title>
  <dc:creator>ЧЕВАЧЕК</dc:creator>
  <cp:lastModifiedBy>ЧЕВАЧЕК</cp:lastModifiedBy>
  <cp:revision>2</cp:revision>
  <dcterms:created xsi:type="dcterms:W3CDTF">2016-06-14T17:20:00Z</dcterms:created>
  <dcterms:modified xsi:type="dcterms:W3CDTF">2016-06-14T17:20:00Z</dcterms:modified>
</cp:coreProperties>
</file>